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26" w:rsidRDefault="00B32426">
      <w:pPr>
        <w:spacing w:line="700" w:lineRule="exact"/>
        <w:ind w:firstLine="420"/>
        <w:jc w:val="center"/>
        <w:rPr>
          <w:rFonts w:ascii="仿宋" w:eastAsia="仿宋" w:hAnsi="仿宋" w:cs="仿宋" w:hint="eastAsia"/>
          <w:sz w:val="44"/>
          <w:szCs w:val="44"/>
        </w:rPr>
      </w:pPr>
    </w:p>
    <w:p w:rsidR="00B32426" w:rsidRDefault="00B32426">
      <w:pPr>
        <w:spacing w:line="600" w:lineRule="exact"/>
        <w:jc w:val="center"/>
        <w:rPr>
          <w:rFonts w:ascii="仿宋" w:eastAsia="仿宋" w:hAnsi="仿宋" w:cs="仿宋"/>
          <w:sz w:val="44"/>
          <w:szCs w:val="44"/>
        </w:rPr>
      </w:pPr>
    </w:p>
    <w:p w:rsidR="00B32426" w:rsidRPr="003E5F12" w:rsidRDefault="00530719">
      <w:pPr>
        <w:spacing w:line="600" w:lineRule="exact"/>
        <w:jc w:val="center"/>
        <w:rPr>
          <w:rFonts w:ascii="方正小标宋简体" w:eastAsia="方正小标宋简体" w:hAnsi="仿宋" w:cs="仿宋"/>
          <w:color w:val="000000" w:themeColor="text1"/>
          <w:sz w:val="44"/>
          <w:szCs w:val="44"/>
        </w:rPr>
      </w:pPr>
      <w:r w:rsidRPr="003E5F12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贵州省电力需求响应交易方案（2025年版）</w:t>
      </w:r>
    </w:p>
    <w:p w:rsidR="00B32426" w:rsidRPr="003E5F12" w:rsidRDefault="00530719">
      <w:pPr>
        <w:spacing w:line="600" w:lineRule="exact"/>
        <w:jc w:val="center"/>
        <w:rPr>
          <w:rFonts w:ascii="方正小标宋简体" w:eastAsia="方正小标宋简体" w:hAnsi="仿宋" w:cs="仿宋"/>
          <w:color w:val="000000" w:themeColor="text1"/>
          <w:sz w:val="44"/>
          <w:szCs w:val="44"/>
        </w:rPr>
      </w:pPr>
      <w:r w:rsidRPr="003E5F12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起草说明</w:t>
      </w:r>
    </w:p>
    <w:p w:rsidR="00B32426" w:rsidRPr="003E5F12" w:rsidRDefault="00B3242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44"/>
          <w:szCs w:val="44"/>
        </w:rPr>
      </w:pPr>
    </w:p>
    <w:p w:rsidR="00B32426" w:rsidRPr="003E5F12" w:rsidRDefault="00530719">
      <w:pPr>
        <w:spacing w:line="560" w:lineRule="exact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3E5F12">
        <w:rPr>
          <w:rFonts w:ascii="黑体" w:eastAsia="黑体" w:hAnsi="黑体" w:cs="仿宋" w:hint="eastAsia"/>
          <w:color w:val="000000" w:themeColor="text1"/>
          <w:sz w:val="32"/>
          <w:szCs w:val="32"/>
        </w:rPr>
        <w:t>一、起草背景</w:t>
      </w:r>
    </w:p>
    <w:p w:rsidR="00B32426" w:rsidRPr="003E5F12" w:rsidRDefault="00530719">
      <w:pPr>
        <w:spacing w:line="560" w:lineRule="exact"/>
        <w:ind w:firstLineChars="200" w:firstLine="640"/>
        <w:rPr>
          <w:rFonts w:ascii="楷体_GB2312" w:eastAsia="楷体_GB2312" w:hAnsi="仿宋" w:cs="仿宋"/>
          <w:color w:val="000000" w:themeColor="text1"/>
          <w:sz w:val="32"/>
          <w:szCs w:val="32"/>
        </w:rPr>
      </w:pPr>
      <w:r w:rsidRPr="003E5F12">
        <w:rPr>
          <w:rFonts w:ascii="楷体_GB2312" w:eastAsia="楷体_GB2312" w:hAnsi="仿宋" w:cs="仿宋" w:hint="eastAsia"/>
          <w:color w:val="000000" w:themeColor="text1"/>
          <w:sz w:val="32"/>
          <w:szCs w:val="32"/>
          <w:lang w:val="en"/>
        </w:rPr>
        <w:t>（一）</w:t>
      </w:r>
      <w:r w:rsidRPr="003E5F12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国家政策要求</w:t>
      </w:r>
    </w:p>
    <w:p w:rsidR="00B32426" w:rsidRPr="003E5F12" w:rsidRDefault="0053071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lang w:val="en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一是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贯彻《电力负荷管理办法（2023版）》、《电力需求侧管理办法（2023版）》关于“发挥市场机制作用，完善需求响应体系”的要求。为贯彻落实党中央、国务院关于</w:t>
      </w:r>
      <w:proofErr w:type="gramStart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碳达峰碳</w:t>
      </w:r>
      <w:proofErr w:type="gramEnd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中和的重大战略决策，深入推进能源革命，加快规划建设新型能源体系，加强能源产供储销体系建设，推动能源清洁低碳安全高效利用，确保能源安全，</w:t>
      </w:r>
    </w:p>
    <w:p w:rsidR="00B32426" w:rsidRPr="003E5F12" w:rsidRDefault="0053071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lang w:val="en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二是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推动新型电力系统建设，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加强电力保供安全，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响应国家能源局关于提升电网灵活调节能力、促进新能源消纳的指导意见。电力</w:t>
      </w:r>
      <w:proofErr w:type="gramStart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需求侧管理应</w:t>
      </w:r>
      <w:proofErr w:type="gramEnd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贯彻落实节约资源、保护环境的基本国策，坚持统筹发展和安全，守牢能源电力安全底线。</w:t>
      </w:r>
    </w:p>
    <w:p w:rsidR="00B32426" w:rsidRPr="003E5F12" w:rsidRDefault="0053071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三是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"/>
        </w:rPr>
        <w:t>促进电力市场化改革，适应电力现货市场建设需求，推动需求响应从行政手段向市场机制过渡。</w:t>
      </w:r>
    </w:p>
    <w:p w:rsidR="00B32426" w:rsidRPr="003E5F12" w:rsidRDefault="00530719">
      <w:pPr>
        <w:spacing w:line="560" w:lineRule="exact"/>
        <w:ind w:firstLineChars="200" w:firstLine="640"/>
        <w:rPr>
          <w:rFonts w:ascii="楷体_GB2312" w:eastAsia="楷体_GB2312" w:hAnsi="仿宋" w:cs="仿宋"/>
          <w:color w:val="000000" w:themeColor="text1"/>
          <w:sz w:val="32"/>
          <w:szCs w:val="32"/>
          <w:lang w:val="en"/>
        </w:rPr>
      </w:pPr>
      <w:r w:rsidRPr="003E5F12">
        <w:rPr>
          <w:rFonts w:ascii="楷体_GB2312" w:eastAsia="楷体_GB2312" w:hAnsi="仿宋" w:cs="仿宋" w:hint="eastAsia"/>
          <w:color w:val="000000" w:themeColor="text1"/>
          <w:sz w:val="32"/>
          <w:szCs w:val="32"/>
          <w:lang w:val="en"/>
        </w:rPr>
        <w:t>（二）我省现实需要</w:t>
      </w:r>
    </w:p>
    <w:p w:rsidR="00B32426" w:rsidRPr="003E5F12" w:rsidRDefault="0053071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一是需求响应能力需达到最大用电负荷的5%。省内需要根据需求响应的资源类型、负荷特征、响应速率、响应可靠性等关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键参数，形成可用、可控的需求响应资源清单，并基于需求响应实际执行情况等动态更新，需求响应能力达到最大用电负荷5%。</w:t>
      </w:r>
    </w:p>
    <w:p w:rsidR="00B32426" w:rsidRPr="003E5F12" w:rsidRDefault="0053071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二是促进清洁能源消纳。风电、光伏装机规模持续增长，电网实时平衡难度加大，通过需求响应填谷种类应优化资源利用。</w:t>
      </w:r>
    </w:p>
    <w:p w:rsidR="00917BFA" w:rsidRDefault="00530719" w:rsidP="00917BFA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三是加强电力保供，实现负荷分钟、秒级可中断。加强负荷可控能力建设，在供需紧张期间，为电力保</w:t>
      </w:r>
      <w:proofErr w:type="gramStart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供提供</w:t>
      </w:r>
      <w:proofErr w:type="gramEnd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有效手段，保障各项业务流程有序开展。</w:t>
      </w:r>
    </w:p>
    <w:p w:rsidR="00B32426" w:rsidRPr="003E5F12" w:rsidRDefault="00530719" w:rsidP="00917BFA">
      <w:pPr>
        <w:spacing w:line="560" w:lineRule="exact"/>
        <w:ind w:firstLineChars="200" w:firstLine="640"/>
        <w:jc w:val="left"/>
        <w:rPr>
          <w:rFonts w:ascii="黑体" w:eastAsia="黑体" w:hAnsi="黑体" w:cs="仿宋"/>
          <w:color w:val="000000" w:themeColor="text1"/>
          <w:sz w:val="32"/>
          <w:szCs w:val="32"/>
        </w:rPr>
      </w:pPr>
      <w:bookmarkStart w:id="0" w:name="_GoBack"/>
      <w:bookmarkEnd w:id="0"/>
      <w:r w:rsidRPr="003E5F12">
        <w:rPr>
          <w:rFonts w:ascii="黑体" w:eastAsia="黑体" w:hAnsi="黑体" w:cs="仿宋" w:hint="eastAsia"/>
          <w:color w:val="000000" w:themeColor="text1"/>
          <w:sz w:val="32"/>
          <w:szCs w:val="32"/>
        </w:rPr>
        <w:t>二、制定依据</w:t>
      </w:r>
    </w:p>
    <w:p w:rsidR="00B32426" w:rsidRPr="003E5F12" w:rsidRDefault="00530719">
      <w:pPr>
        <w:spacing w:line="560" w:lineRule="exact"/>
        <w:ind w:firstLineChars="200" w:firstLine="640"/>
        <w:rPr>
          <w:rFonts w:ascii="楷体_GB2312" w:eastAsia="楷体_GB2312" w:hAnsi="仿宋" w:cs="仿宋"/>
          <w:color w:val="000000" w:themeColor="text1"/>
          <w:sz w:val="32"/>
          <w:szCs w:val="32"/>
          <w:lang w:val="en"/>
        </w:rPr>
      </w:pPr>
      <w:r w:rsidRPr="003E5F12">
        <w:rPr>
          <w:rFonts w:ascii="楷体_GB2312" w:eastAsia="楷体_GB2312" w:hAnsi="仿宋" w:cs="仿宋" w:hint="eastAsia"/>
          <w:color w:val="000000" w:themeColor="text1"/>
          <w:sz w:val="32"/>
          <w:szCs w:val="32"/>
          <w:lang w:val="en"/>
        </w:rPr>
        <w:t>（一）《电力负荷管理办法（2023版）》</w:t>
      </w:r>
    </w:p>
    <w:p w:rsidR="00B32426" w:rsidRPr="003E5F12" w:rsidRDefault="00530719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楷体_GB2312" w:eastAsia="楷体_GB2312" w:hAnsi="仿宋" w:cs="仿宋" w:hint="eastAsia"/>
          <w:color w:val="000000" w:themeColor="text1"/>
          <w:sz w:val="32"/>
          <w:szCs w:val="32"/>
          <w:lang w:val="en"/>
        </w:rPr>
        <w:t>（二）《电力需求侧管理办法（2023版）》</w:t>
      </w:r>
    </w:p>
    <w:p w:rsidR="00B32426" w:rsidRPr="003E5F12" w:rsidRDefault="00530719">
      <w:pPr>
        <w:spacing w:line="560" w:lineRule="exact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3E5F12">
        <w:rPr>
          <w:rFonts w:ascii="黑体" w:eastAsia="黑体" w:hAnsi="黑体" w:cs="仿宋" w:hint="eastAsia"/>
          <w:color w:val="000000" w:themeColor="text1"/>
          <w:sz w:val="32"/>
          <w:szCs w:val="32"/>
        </w:rPr>
        <w:t>三、起草过程</w:t>
      </w:r>
    </w:p>
    <w:p w:rsidR="00B32426" w:rsidRPr="003E5F12" w:rsidRDefault="00530719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2025年3月1日按照贵州省2025年需求响应工作实施需要，</w:t>
      </w:r>
      <w:r w:rsidR="003E5F12"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研究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增加日内削峰，日前、日内填谷交易品种及相关流程</w:t>
      </w:r>
      <w:r w:rsidR="003E5F12"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3月15日召集贵州电网公司、贵州电力交易中心、贵州电力负荷管理中心和有关市场主体座谈，专题研究我省2025年需求响应交易方案修订内容和机制。2025年4月15日，启动《方案起草》工作，4月25日经反复讨论形成了征求意见稿。</w:t>
      </w:r>
    </w:p>
    <w:p w:rsidR="00B32426" w:rsidRPr="003E5F12" w:rsidRDefault="00530719">
      <w:pPr>
        <w:spacing w:line="560" w:lineRule="exact"/>
        <w:ind w:firstLineChars="200" w:firstLine="640"/>
        <w:jc w:val="left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3E5F12">
        <w:rPr>
          <w:rFonts w:ascii="黑体" w:eastAsia="黑体" w:hAnsi="黑体" w:cs="仿宋" w:hint="eastAsia"/>
          <w:color w:val="000000" w:themeColor="text1"/>
          <w:sz w:val="32"/>
          <w:szCs w:val="32"/>
        </w:rPr>
        <w:t>四、主要内容</w:t>
      </w:r>
    </w:p>
    <w:p w:rsidR="00B32426" w:rsidRPr="003E5F12" w:rsidRDefault="0053071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《方案》分为工作目标、组织实施、效果评估、考核及申诉、结算、资金来源、有关衔接等7个部分，具体为：</w:t>
      </w:r>
    </w:p>
    <w:p w:rsidR="00B32426" w:rsidRPr="003E5F12" w:rsidRDefault="0053071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40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第一部分：工作目标。一是完善需求响应体系。二是缓解电力供需矛盾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40"/>
        </w:rPr>
        <w:t>。三是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坚持公平公正。</w:t>
      </w:r>
    </w:p>
    <w:p w:rsidR="00B32426" w:rsidRPr="003E5F12" w:rsidRDefault="0053071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第二部分：组织实施。一是明确响应主体，二是明确资源类型。三是明确交易品种。四是明确价格标准。五是明确启动条件。</w:t>
      </w:r>
    </w:p>
    <w:p w:rsidR="00B32426" w:rsidRPr="003E5F12" w:rsidRDefault="00530719">
      <w:pPr>
        <w:pStyle w:val="1"/>
        <w:shd w:val="clear" w:color="auto" w:fill="auto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lang w:val="en-US" w:bidi="ar-SA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第三部分：效果评估。一是明确基线计算，基线负荷、测量负荷以小时平均功率计算，即小时电量/1h。二是明确样本日，将样本日的日期类型划分为工作日和周末、节假日。三是明确评估标准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 w:bidi="ar-SA"/>
        </w:rPr>
        <w:t>。</w:t>
      </w:r>
    </w:p>
    <w:p w:rsidR="00B32426" w:rsidRPr="003E5F12" w:rsidRDefault="00530719">
      <w:pPr>
        <w:pStyle w:val="1"/>
        <w:shd w:val="clear" w:color="auto" w:fill="auto"/>
        <w:spacing w:line="600" w:lineRule="exact"/>
        <w:ind w:firstLine="66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第四部分：考核及申诉。一是明确考核方式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二是明确执行结果披露和申诉程序。三是明确用户申诉内容涉及需求响应调用费用计算的，由交易中心进行核实处理。</w:t>
      </w:r>
    </w:p>
    <w:p w:rsidR="00B32426" w:rsidRPr="003E5F12" w:rsidRDefault="00530719">
      <w:pPr>
        <w:pStyle w:val="1"/>
        <w:shd w:val="clear" w:color="auto" w:fill="auto"/>
        <w:spacing w:line="600" w:lineRule="exact"/>
        <w:ind w:firstLine="660"/>
        <w:rPr>
          <w:rFonts w:ascii="仿宋" w:eastAsia="仿宋" w:hAnsi="仿宋" w:cs="仿宋"/>
          <w:color w:val="000000" w:themeColor="text1"/>
          <w:sz w:val="32"/>
          <w:szCs w:val="32"/>
          <w:lang w:val="en-US" w:bidi="ar-SA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第五部分：结算。一是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 w:bidi="ar-SA"/>
        </w:rPr>
        <w:t>需求响应的费用按照当月结算、次月公示、次次月结清的原则开展。二是</w:t>
      </w: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交易中心根据响应结果测算响应费用，出具结算依据。三是需求响应中标并提供</w:t>
      </w:r>
      <w:proofErr w:type="gramStart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有效响应</w:t>
      </w:r>
      <w:proofErr w:type="gramEnd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容量的市场主体，按小时计算调用收益。</w:t>
      </w:r>
    </w:p>
    <w:p w:rsidR="00B32426" w:rsidRPr="003E5F12" w:rsidRDefault="00530719">
      <w:pPr>
        <w:pStyle w:val="1"/>
        <w:shd w:val="clear" w:color="auto" w:fill="auto"/>
        <w:spacing w:line="560" w:lineRule="exact"/>
        <w:ind w:firstLine="660"/>
        <w:rPr>
          <w:rFonts w:ascii="仿宋" w:eastAsia="仿宋" w:hAnsi="仿宋" w:cs="仿宋"/>
          <w:color w:val="000000" w:themeColor="text1"/>
          <w:sz w:val="32"/>
          <w:szCs w:val="32"/>
          <w:lang w:val="en-US" w:bidi="ar-SA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/>
        </w:rPr>
        <w:t>第六部分：资金来源。一是</w:t>
      </w:r>
      <w:proofErr w:type="gramStart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 w:bidi="ar-SA"/>
        </w:rPr>
        <w:t>削峰类需求</w:t>
      </w:r>
      <w:proofErr w:type="gramEnd"/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  <w:lang w:val="en-US" w:bidi="ar-SA"/>
        </w:rPr>
        <w:t>响应资金原则上由全体工商业用户按照月度冻结用电量（扣除月度负荷管理电量后）计算度电分摊价格。二是填谷类需求响应资金由所有发电企业按月度上网电量分摊。</w:t>
      </w:r>
    </w:p>
    <w:p w:rsidR="00B32426" w:rsidRPr="003E5F12" w:rsidRDefault="00530719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E5F12">
        <w:rPr>
          <w:rFonts w:ascii="仿宋" w:eastAsia="仿宋" w:hAnsi="仿宋" w:cs="仿宋" w:hint="eastAsia"/>
          <w:color w:val="000000" w:themeColor="text1"/>
          <w:sz w:val="32"/>
          <w:szCs w:val="32"/>
        </w:rPr>
        <w:t>第七部分：有关衔接。一是需求响应与有序用电的衔接，二是需求响应与中长期电力市场交易的衔接，三是需求响应交易与电费结算之间的衔接。</w:t>
      </w:r>
    </w:p>
    <w:p w:rsidR="00B32426" w:rsidRDefault="00B3242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B3242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4A" w:rsidRDefault="00E8614A">
      <w:r>
        <w:separator/>
      </w:r>
    </w:p>
  </w:endnote>
  <w:endnote w:type="continuationSeparator" w:id="0">
    <w:p w:rsidR="00E8614A" w:rsidRDefault="00E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426" w:rsidRDefault="005307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2426" w:rsidRDefault="0053071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2426" w:rsidRDefault="0053071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4A" w:rsidRDefault="00E8614A">
      <w:r>
        <w:separator/>
      </w:r>
    </w:p>
  </w:footnote>
  <w:footnote w:type="continuationSeparator" w:id="0">
    <w:p w:rsidR="00E8614A" w:rsidRDefault="00E8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0NTZhMzU4YmYyYWU3NjgxOWJmZDljZGM1ZmRkN2QifQ=="/>
  </w:docVars>
  <w:rsids>
    <w:rsidRoot w:val="00CC6867"/>
    <w:rsid w:val="BF9D1E4E"/>
    <w:rsid w:val="BFFF7E6F"/>
    <w:rsid w:val="D2BB4E46"/>
    <w:rsid w:val="D3F73CA6"/>
    <w:rsid w:val="DDE3C4D9"/>
    <w:rsid w:val="EEFF8156"/>
    <w:rsid w:val="FECBDEBC"/>
    <w:rsid w:val="FFAE3722"/>
    <w:rsid w:val="FFFFA189"/>
    <w:rsid w:val="001318C1"/>
    <w:rsid w:val="001A6D77"/>
    <w:rsid w:val="001C0E5A"/>
    <w:rsid w:val="003E5F12"/>
    <w:rsid w:val="004223DC"/>
    <w:rsid w:val="004543F9"/>
    <w:rsid w:val="00530719"/>
    <w:rsid w:val="00917BFA"/>
    <w:rsid w:val="00A43E16"/>
    <w:rsid w:val="00B215C6"/>
    <w:rsid w:val="00B32426"/>
    <w:rsid w:val="00CC6867"/>
    <w:rsid w:val="00E8614A"/>
    <w:rsid w:val="020F4B7E"/>
    <w:rsid w:val="023470AD"/>
    <w:rsid w:val="02A837E9"/>
    <w:rsid w:val="040046A3"/>
    <w:rsid w:val="046F3155"/>
    <w:rsid w:val="05742A02"/>
    <w:rsid w:val="05843426"/>
    <w:rsid w:val="05B64EE1"/>
    <w:rsid w:val="05BF1B7D"/>
    <w:rsid w:val="06162A8B"/>
    <w:rsid w:val="06462D5B"/>
    <w:rsid w:val="065B747D"/>
    <w:rsid w:val="07882670"/>
    <w:rsid w:val="083C7992"/>
    <w:rsid w:val="084A0EA6"/>
    <w:rsid w:val="08B32E54"/>
    <w:rsid w:val="08C94FF8"/>
    <w:rsid w:val="09D40F91"/>
    <w:rsid w:val="0A1D7EA8"/>
    <w:rsid w:val="0A5D760D"/>
    <w:rsid w:val="0A6A1812"/>
    <w:rsid w:val="0A78010B"/>
    <w:rsid w:val="0A803341"/>
    <w:rsid w:val="0A94336A"/>
    <w:rsid w:val="0AF92D0E"/>
    <w:rsid w:val="0B5A402C"/>
    <w:rsid w:val="0BC301D9"/>
    <w:rsid w:val="0CA24F74"/>
    <w:rsid w:val="0CB42D9E"/>
    <w:rsid w:val="0D3F312D"/>
    <w:rsid w:val="0D6C2793"/>
    <w:rsid w:val="0DCB05AE"/>
    <w:rsid w:val="0E34230B"/>
    <w:rsid w:val="0E7B4A3D"/>
    <w:rsid w:val="0F0011CC"/>
    <w:rsid w:val="0FE44E94"/>
    <w:rsid w:val="10A73BEA"/>
    <w:rsid w:val="10AD6EE0"/>
    <w:rsid w:val="10B669F7"/>
    <w:rsid w:val="10EC4CD3"/>
    <w:rsid w:val="114E14F4"/>
    <w:rsid w:val="13153692"/>
    <w:rsid w:val="13C4667A"/>
    <w:rsid w:val="158B3E94"/>
    <w:rsid w:val="15EA656E"/>
    <w:rsid w:val="165E7E85"/>
    <w:rsid w:val="16F455B8"/>
    <w:rsid w:val="16F91A40"/>
    <w:rsid w:val="174B6E7B"/>
    <w:rsid w:val="17912EB8"/>
    <w:rsid w:val="17BB256A"/>
    <w:rsid w:val="17FB4AE6"/>
    <w:rsid w:val="185A0382"/>
    <w:rsid w:val="18F55895"/>
    <w:rsid w:val="19554379"/>
    <w:rsid w:val="196E6F2D"/>
    <w:rsid w:val="1B01155A"/>
    <w:rsid w:val="1B2009B7"/>
    <w:rsid w:val="1BAB3969"/>
    <w:rsid w:val="1C3928DC"/>
    <w:rsid w:val="1C550BCE"/>
    <w:rsid w:val="1C895B5E"/>
    <w:rsid w:val="1CD35014"/>
    <w:rsid w:val="1D1208AF"/>
    <w:rsid w:val="1D166A47"/>
    <w:rsid w:val="1D687F77"/>
    <w:rsid w:val="1DAB6F3A"/>
    <w:rsid w:val="1DC57AE4"/>
    <w:rsid w:val="1DF35130"/>
    <w:rsid w:val="1E4D0CC2"/>
    <w:rsid w:val="1EAD0394"/>
    <w:rsid w:val="1F853DC1"/>
    <w:rsid w:val="208831F4"/>
    <w:rsid w:val="20D34741"/>
    <w:rsid w:val="20F35F51"/>
    <w:rsid w:val="2118245A"/>
    <w:rsid w:val="21430D20"/>
    <w:rsid w:val="232B2D32"/>
    <w:rsid w:val="236A2ECA"/>
    <w:rsid w:val="243E1982"/>
    <w:rsid w:val="244F54A0"/>
    <w:rsid w:val="24FD433F"/>
    <w:rsid w:val="25DD2ABF"/>
    <w:rsid w:val="26035DEB"/>
    <w:rsid w:val="27563450"/>
    <w:rsid w:val="27A75FE0"/>
    <w:rsid w:val="27B2012B"/>
    <w:rsid w:val="27FE5AB6"/>
    <w:rsid w:val="283C337F"/>
    <w:rsid w:val="28C049EA"/>
    <w:rsid w:val="28E848A9"/>
    <w:rsid w:val="295142D9"/>
    <w:rsid w:val="2A312C44"/>
    <w:rsid w:val="2AA1167C"/>
    <w:rsid w:val="2B3653F3"/>
    <w:rsid w:val="2B560A4C"/>
    <w:rsid w:val="2C6B52D7"/>
    <w:rsid w:val="2C923702"/>
    <w:rsid w:val="2C94358C"/>
    <w:rsid w:val="2CE84DB9"/>
    <w:rsid w:val="2D506D67"/>
    <w:rsid w:val="2D637F86"/>
    <w:rsid w:val="2D9E0F53"/>
    <w:rsid w:val="2DD611BE"/>
    <w:rsid w:val="2E68407C"/>
    <w:rsid w:val="2F005429"/>
    <w:rsid w:val="2F5625C6"/>
    <w:rsid w:val="2FF344B8"/>
    <w:rsid w:val="30167621"/>
    <w:rsid w:val="308952B0"/>
    <w:rsid w:val="31927ECA"/>
    <w:rsid w:val="31B97BA0"/>
    <w:rsid w:val="32FF7EB7"/>
    <w:rsid w:val="332901F1"/>
    <w:rsid w:val="337E7DFB"/>
    <w:rsid w:val="347F4EB0"/>
    <w:rsid w:val="34945D4F"/>
    <w:rsid w:val="34E52F43"/>
    <w:rsid w:val="35507787"/>
    <w:rsid w:val="35764143"/>
    <w:rsid w:val="3584104C"/>
    <w:rsid w:val="36075C31"/>
    <w:rsid w:val="36332A71"/>
    <w:rsid w:val="36FE2945"/>
    <w:rsid w:val="37683966"/>
    <w:rsid w:val="37807A1C"/>
    <w:rsid w:val="378C15EB"/>
    <w:rsid w:val="37C87E10"/>
    <w:rsid w:val="37D52E68"/>
    <w:rsid w:val="37FC4DE7"/>
    <w:rsid w:val="382B04EC"/>
    <w:rsid w:val="38961762"/>
    <w:rsid w:val="38BE7FB3"/>
    <w:rsid w:val="3944475A"/>
    <w:rsid w:val="39B733F8"/>
    <w:rsid w:val="39D620EE"/>
    <w:rsid w:val="3A32028A"/>
    <w:rsid w:val="3B34332F"/>
    <w:rsid w:val="3BBF5492"/>
    <w:rsid w:val="3BC5739B"/>
    <w:rsid w:val="3BD6093A"/>
    <w:rsid w:val="3C3A2BDD"/>
    <w:rsid w:val="3D0038A0"/>
    <w:rsid w:val="3E47743A"/>
    <w:rsid w:val="3ED42521"/>
    <w:rsid w:val="3F3F260B"/>
    <w:rsid w:val="411A01DD"/>
    <w:rsid w:val="41252F08"/>
    <w:rsid w:val="42B22F65"/>
    <w:rsid w:val="43063498"/>
    <w:rsid w:val="43120317"/>
    <w:rsid w:val="436B0D66"/>
    <w:rsid w:val="437E40E7"/>
    <w:rsid w:val="43D6135A"/>
    <w:rsid w:val="43EC33C7"/>
    <w:rsid w:val="448D5606"/>
    <w:rsid w:val="44B7644A"/>
    <w:rsid w:val="4564295B"/>
    <w:rsid w:val="46B868DE"/>
    <w:rsid w:val="47AD64A7"/>
    <w:rsid w:val="47D003EE"/>
    <w:rsid w:val="47ED2C82"/>
    <w:rsid w:val="47EFFCAA"/>
    <w:rsid w:val="48072039"/>
    <w:rsid w:val="48472322"/>
    <w:rsid w:val="487B5FDF"/>
    <w:rsid w:val="48E9042E"/>
    <w:rsid w:val="4A2A683B"/>
    <w:rsid w:val="4AE96ACD"/>
    <w:rsid w:val="4B626538"/>
    <w:rsid w:val="4BCB5F67"/>
    <w:rsid w:val="4C07034B"/>
    <w:rsid w:val="4C380B1A"/>
    <w:rsid w:val="4D145005"/>
    <w:rsid w:val="4D160AD1"/>
    <w:rsid w:val="4D570F71"/>
    <w:rsid w:val="4DBA440F"/>
    <w:rsid w:val="4EEE3858"/>
    <w:rsid w:val="4F7FF710"/>
    <w:rsid w:val="505B24E3"/>
    <w:rsid w:val="5074340D"/>
    <w:rsid w:val="519C4174"/>
    <w:rsid w:val="51A105FC"/>
    <w:rsid w:val="51E754ED"/>
    <w:rsid w:val="51FF4AE6"/>
    <w:rsid w:val="52A02F81"/>
    <w:rsid w:val="52B961DA"/>
    <w:rsid w:val="52CA29E8"/>
    <w:rsid w:val="52ED27E7"/>
    <w:rsid w:val="53124FDB"/>
    <w:rsid w:val="55466687"/>
    <w:rsid w:val="55522D0E"/>
    <w:rsid w:val="55B15523"/>
    <w:rsid w:val="55BB290D"/>
    <w:rsid w:val="57555BD4"/>
    <w:rsid w:val="5779156D"/>
    <w:rsid w:val="58583365"/>
    <w:rsid w:val="58695A9C"/>
    <w:rsid w:val="58C12F64"/>
    <w:rsid w:val="591E42C6"/>
    <w:rsid w:val="59754CD5"/>
    <w:rsid w:val="5A5907CA"/>
    <w:rsid w:val="5A73332A"/>
    <w:rsid w:val="5ABD2A6D"/>
    <w:rsid w:val="5AF529C0"/>
    <w:rsid w:val="5C2914A3"/>
    <w:rsid w:val="5CB65A73"/>
    <w:rsid w:val="5D6825B5"/>
    <w:rsid w:val="5DC60467"/>
    <w:rsid w:val="5DD71A06"/>
    <w:rsid w:val="5DD7C747"/>
    <w:rsid w:val="5E3826C7"/>
    <w:rsid w:val="5E7F5BA7"/>
    <w:rsid w:val="5EA0388F"/>
    <w:rsid w:val="5F8800C7"/>
    <w:rsid w:val="5FDB188E"/>
    <w:rsid w:val="605B5EA1"/>
    <w:rsid w:val="606F4B42"/>
    <w:rsid w:val="60B553C9"/>
    <w:rsid w:val="60F32525"/>
    <w:rsid w:val="61F86BC7"/>
    <w:rsid w:val="626F7B0B"/>
    <w:rsid w:val="62792C02"/>
    <w:rsid w:val="62CA6F20"/>
    <w:rsid w:val="63523981"/>
    <w:rsid w:val="639D4CF9"/>
    <w:rsid w:val="63EC6931"/>
    <w:rsid w:val="64AC4EB7"/>
    <w:rsid w:val="650642CC"/>
    <w:rsid w:val="652957AF"/>
    <w:rsid w:val="65B740EF"/>
    <w:rsid w:val="65FF6A62"/>
    <w:rsid w:val="660009A1"/>
    <w:rsid w:val="6749577F"/>
    <w:rsid w:val="675D11F9"/>
    <w:rsid w:val="67BB003D"/>
    <w:rsid w:val="67C5399F"/>
    <w:rsid w:val="67E74181"/>
    <w:rsid w:val="683E3A49"/>
    <w:rsid w:val="698941A2"/>
    <w:rsid w:val="69BE2CAC"/>
    <w:rsid w:val="69D05529"/>
    <w:rsid w:val="6A02377A"/>
    <w:rsid w:val="6A285BB8"/>
    <w:rsid w:val="6A452F6A"/>
    <w:rsid w:val="6BE33C8F"/>
    <w:rsid w:val="6BF55E2D"/>
    <w:rsid w:val="6D952B00"/>
    <w:rsid w:val="6DA447CD"/>
    <w:rsid w:val="6DF97D25"/>
    <w:rsid w:val="6DFF7482"/>
    <w:rsid w:val="6E183083"/>
    <w:rsid w:val="6E6F787D"/>
    <w:rsid w:val="6EEC1689"/>
    <w:rsid w:val="6F1A4757"/>
    <w:rsid w:val="6F3842F5"/>
    <w:rsid w:val="6F77706F"/>
    <w:rsid w:val="6FF670D1"/>
    <w:rsid w:val="702D331A"/>
    <w:rsid w:val="70A873E0"/>
    <w:rsid w:val="712D27BC"/>
    <w:rsid w:val="713E5355"/>
    <w:rsid w:val="71733631"/>
    <w:rsid w:val="730F3052"/>
    <w:rsid w:val="73AF26D7"/>
    <w:rsid w:val="73B415E2"/>
    <w:rsid w:val="73F90A51"/>
    <w:rsid w:val="73FD2CDB"/>
    <w:rsid w:val="7512151E"/>
    <w:rsid w:val="75275C40"/>
    <w:rsid w:val="758F2719"/>
    <w:rsid w:val="75C02AD9"/>
    <w:rsid w:val="76920715"/>
    <w:rsid w:val="76B963D7"/>
    <w:rsid w:val="76FA1495"/>
    <w:rsid w:val="774D279F"/>
    <w:rsid w:val="779260BA"/>
    <w:rsid w:val="77AE6037"/>
    <w:rsid w:val="78B129FE"/>
    <w:rsid w:val="797771D4"/>
    <w:rsid w:val="7B68458A"/>
    <w:rsid w:val="7BB06787"/>
    <w:rsid w:val="7BCF03CB"/>
    <w:rsid w:val="7BFB5459"/>
    <w:rsid w:val="7C1D524A"/>
    <w:rsid w:val="7C2F194B"/>
    <w:rsid w:val="7C7E7F14"/>
    <w:rsid w:val="7D832EB3"/>
    <w:rsid w:val="7DCA4F70"/>
    <w:rsid w:val="7E79F87F"/>
    <w:rsid w:val="7E8940A9"/>
    <w:rsid w:val="7F051474"/>
    <w:rsid w:val="7F51026F"/>
    <w:rsid w:val="7F76247A"/>
    <w:rsid w:val="7F782778"/>
    <w:rsid w:val="7FDF0118"/>
    <w:rsid w:val="7FE04F7C"/>
    <w:rsid w:val="7FF30F97"/>
    <w:rsid w:val="AF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4972A"/>
  <w15:docId w15:val="{E2EC0B75-BB3D-4721-BD30-B0DB318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next w:val="a4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a"/>
    <w:next w:val="a"/>
    <w:uiPriority w:val="1"/>
    <w:qFormat/>
    <w:pPr>
      <w:spacing w:before="43"/>
      <w:ind w:left="1100" w:hanging="420"/>
    </w:pPr>
    <w:rPr>
      <w:rFonts w:ascii="仿宋" w:eastAsia="仿宋" w:hAnsi="仿宋" w:cs="仿宋"/>
      <w:szCs w:val="21"/>
      <w:lang w:val="zh-CN" w:bidi="zh-CN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paragraph" w:customStyle="1" w:styleId="1">
    <w:name w:val="正文文本1"/>
    <w:basedOn w:val="a"/>
    <w:qFormat/>
    <w:pPr>
      <w:shd w:val="clear" w:color="auto" w:fill="FFFFFF"/>
      <w:spacing w:line="372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  <w:style w:type="paragraph" w:customStyle="1" w:styleId="10">
    <w:name w:val="无间隔1"/>
    <w:qFormat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31005</dc:creator>
  <cp:lastModifiedBy>Lenovo</cp:lastModifiedBy>
  <cp:revision>6</cp:revision>
  <cp:lastPrinted>2025-05-09T07:00:00Z</cp:lastPrinted>
  <dcterms:created xsi:type="dcterms:W3CDTF">2023-05-09T18:20:00Z</dcterms:created>
  <dcterms:modified xsi:type="dcterms:W3CDTF">2025-05-09T07:00:00Z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C51CEF7804E94BF8AE10E6635C75FA2C_13</vt:lpwstr>
  </property>
  <property fmtid="{D5CDD505-2E9C-101B-9397-08002B2CF9AE}" pid="4" name="KSOTemplateDocerSaveRecord">
    <vt:lpwstr>eyJoZGlkIjoiMzEwNTM5NzYwMDRjMzkwZTVkZjY2ODkwMGIxNGU0OTUiLCJ1c2VySWQiOiIyMDc2MDg3MzAifQ==</vt:lpwstr>
  </property>
</Properties>
</file>