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suppressLineNumbers w:val="0"/>
        <w:kinsoku/>
        <w:wordWrap/>
        <w:overflowPunct/>
        <w:topLinePunct w:val="0"/>
        <w:autoSpaceDE/>
        <w:autoSpaceDN/>
        <w:bidi w:val="0"/>
        <w:snapToGrid/>
        <w:spacing w:before="0" w:beforeAutospacing="0" w:after="0" w:afterAutospacing="0" w:line="600" w:lineRule="exact"/>
        <w:ind w:left="0" w:right="0" w:firstLine="0"/>
        <w:jc w:val="center"/>
        <w:rPr>
          <w:rFonts w:hint="eastAsia" w:ascii="方正小标宋简体" w:hAnsi="方正小标宋简体" w:eastAsia="方正小标宋简体"/>
          <w:sz w:val="36"/>
          <w:szCs w:val="36"/>
        </w:rPr>
      </w:pPr>
      <w:bookmarkStart w:id="10" w:name="_GoBack"/>
      <w:bookmarkEnd w:id="10"/>
    </w:p>
    <w:p>
      <w:pPr>
        <w:pStyle w:val="15"/>
        <w:keepNext w:val="0"/>
        <w:keepLines w:val="0"/>
        <w:pageBreakBefore w:val="0"/>
        <w:widowControl/>
        <w:suppressLineNumbers w:val="0"/>
        <w:kinsoku/>
        <w:wordWrap/>
        <w:overflowPunct/>
        <w:topLinePunct w:val="0"/>
        <w:autoSpaceDE/>
        <w:autoSpaceDN/>
        <w:bidi w:val="0"/>
        <w:snapToGrid/>
        <w:spacing w:before="0" w:beforeAutospacing="0" w:after="0" w:afterAutospacing="0" w:line="600" w:lineRule="exact"/>
        <w:ind w:left="0" w:right="0" w:firstLine="0"/>
        <w:jc w:val="center"/>
        <w:rPr>
          <w:rFonts w:hint="eastAsia" w:ascii="方正小标宋简体" w:hAnsi="方正小标宋简体" w:eastAsia="方正小标宋简体"/>
          <w:sz w:val="36"/>
          <w:szCs w:val="36"/>
        </w:rPr>
      </w:pPr>
      <w:r>
        <w:rPr>
          <w:rFonts w:hint="eastAsia" w:ascii="方正小标宋简体" w:hAnsi="方正小标宋简体" w:eastAsia="方正小标宋简体"/>
          <w:sz w:val="36"/>
          <w:szCs w:val="36"/>
        </w:rPr>
        <w:t>贵州省能源领域固定资产投资项目节能审查</w:t>
      </w:r>
    </w:p>
    <w:p>
      <w:pPr>
        <w:pStyle w:val="15"/>
        <w:keepNext w:val="0"/>
        <w:keepLines w:val="0"/>
        <w:pageBreakBefore w:val="0"/>
        <w:widowControl/>
        <w:suppressLineNumbers w:val="0"/>
        <w:kinsoku/>
        <w:wordWrap/>
        <w:overflowPunct/>
        <w:topLinePunct w:val="0"/>
        <w:autoSpaceDE/>
        <w:autoSpaceDN/>
        <w:bidi w:val="0"/>
        <w:snapToGrid/>
        <w:spacing w:before="0" w:beforeAutospacing="0" w:after="0" w:afterAutospacing="0" w:line="600" w:lineRule="exact"/>
        <w:ind w:left="0" w:right="0" w:firstLine="0"/>
        <w:jc w:val="center"/>
        <w:rPr>
          <w:rFonts w:hint="eastAsia" w:ascii="方正小标宋简体" w:hAnsi="方正小标宋简体" w:eastAsia="方正小标宋简体"/>
          <w:sz w:val="36"/>
          <w:szCs w:val="36"/>
        </w:rPr>
      </w:pPr>
      <w:r>
        <w:rPr>
          <w:rFonts w:hint="eastAsia" w:ascii="方正小标宋简体" w:hAnsi="方正小标宋简体" w:eastAsia="方正小标宋简体"/>
          <w:sz w:val="36"/>
          <w:szCs w:val="36"/>
        </w:rPr>
        <w:t>实施办法</w:t>
      </w:r>
      <w:r>
        <w:rPr>
          <w:rFonts w:hint="eastAsia" w:ascii="方正小标宋简体" w:hAnsi="方正小标宋简体" w:eastAsia="方正小标宋简体"/>
          <w:sz w:val="36"/>
          <w:szCs w:val="36"/>
          <w:lang w:eastAsia="zh-CN"/>
        </w:rPr>
        <w:t>（试行）（</w:t>
      </w:r>
      <w:r>
        <w:rPr>
          <w:rFonts w:hint="eastAsia" w:ascii="方正小标宋简体" w:hAnsi="方正小标宋简体" w:eastAsia="方正小标宋简体"/>
          <w:color w:val="auto"/>
          <w:sz w:val="36"/>
          <w:szCs w:val="36"/>
          <w:u w:val="none"/>
          <w:lang w:eastAsia="zh-CN"/>
        </w:rPr>
        <w:t>征求意见</w:t>
      </w:r>
      <w:r>
        <w:rPr>
          <w:rFonts w:hint="eastAsia" w:ascii="方正小标宋简体" w:hAnsi="方正小标宋简体" w:eastAsia="方正小标宋简体"/>
          <w:sz w:val="36"/>
          <w:szCs w:val="36"/>
          <w:lang w:eastAsia="zh-CN"/>
        </w:rPr>
        <w:t>稿）</w:t>
      </w:r>
    </w:p>
    <w:p/>
    <w:p/>
    <w:p>
      <w:pPr>
        <w:numPr>
          <w:ilvl w:val="0"/>
          <w:numId w:val="0"/>
        </w:numPr>
        <w:ind w:leftChars="200"/>
        <w:jc w:val="center"/>
        <w:rPr>
          <w:rStyle w:val="17"/>
          <w:rFonts w:hint="eastAsia" w:ascii="黑体" w:hAnsi="黑体" w:eastAsia="黑体"/>
          <w:b w:val="0"/>
          <w:bCs/>
          <w:i w:val="0"/>
          <w:color w:val="333333"/>
          <w:spacing w:val="0"/>
          <w:sz w:val="32"/>
          <w:szCs w:val="32"/>
        </w:rPr>
      </w:pPr>
      <w:r>
        <w:rPr>
          <w:rStyle w:val="17"/>
          <w:rFonts w:hint="eastAsia" w:ascii="黑体" w:hAnsi="黑体" w:eastAsia="黑体"/>
          <w:b w:val="0"/>
          <w:bCs/>
          <w:i w:val="0"/>
          <w:color w:val="333333"/>
          <w:spacing w:val="0"/>
          <w:sz w:val="32"/>
          <w:szCs w:val="32"/>
        </w:rPr>
        <w:t>第一章</w:t>
      </w:r>
      <w:r>
        <w:rPr>
          <w:rStyle w:val="17"/>
          <w:rFonts w:hint="eastAsia" w:ascii="黑体" w:hAnsi="黑体" w:eastAsia="黑体"/>
          <w:b w:val="0"/>
          <w:bCs/>
          <w:i w:val="0"/>
          <w:color w:val="333333"/>
          <w:spacing w:val="0"/>
          <w:sz w:val="32"/>
          <w:szCs w:val="32"/>
          <w:lang w:val="en-US" w:eastAsia="zh-CN"/>
        </w:rPr>
        <w:t xml:space="preserve">  </w:t>
      </w:r>
      <w:r>
        <w:rPr>
          <w:rStyle w:val="17"/>
          <w:rFonts w:hint="eastAsia" w:ascii="黑体" w:hAnsi="黑体" w:eastAsia="黑体"/>
          <w:b w:val="0"/>
          <w:bCs/>
          <w:i w:val="0"/>
          <w:color w:val="333333"/>
          <w:spacing w:val="0"/>
          <w:sz w:val="32"/>
          <w:szCs w:val="32"/>
        </w:rPr>
        <w:t>总则</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font-size:16px;text-indent:0em;" w:hAnsi="font-size:16px;text-indent:0em;" w:eastAsia="font-size:16px;text-indent:0em;"/>
          <w:i w:val="0"/>
          <w:color w:val="333333"/>
          <w:spacing w:val="0"/>
          <w:sz w:val="32"/>
          <w:szCs w:val="32"/>
        </w:rPr>
      </w:pPr>
    </w:p>
    <w:p>
      <w:pPr>
        <w:pStyle w:val="1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40" w:firstLineChars="200"/>
        <w:rPr>
          <w:rFonts w:hint="eastAsia" w:ascii="仿宋_GB2312" w:hAnsi="仿宋_GB2312" w:eastAsia="仿宋_GB2312"/>
          <w:i w:val="0"/>
          <w:color w:val="333333"/>
          <w:spacing w:val="0"/>
          <w:sz w:val="32"/>
          <w:szCs w:val="32"/>
          <w:lang w:val="en-US" w:eastAsia="zh-CN"/>
        </w:rPr>
      </w:pPr>
      <w:r>
        <w:rPr>
          <w:rFonts w:hint="eastAsia" w:ascii="仿宋_GB2312" w:hAnsi="仿宋_GB2312" w:eastAsia="仿宋_GB2312"/>
          <w:i w:val="0"/>
          <w:color w:val="333333"/>
          <w:spacing w:val="0"/>
          <w:sz w:val="32"/>
          <w:szCs w:val="32"/>
          <w:lang w:val="en-US" w:eastAsia="zh-CN"/>
        </w:rPr>
        <w:t xml:space="preserve"> </w:t>
      </w:r>
      <w:r>
        <w:rPr>
          <w:rFonts w:hint="eastAsia" w:ascii="仿宋_GB2312" w:hAnsi="仿宋_GB2312" w:eastAsia="仿宋_GB2312"/>
          <w:i w:val="0"/>
          <w:color w:val="333333"/>
          <w:spacing w:val="0"/>
          <w:sz w:val="32"/>
          <w:szCs w:val="32"/>
        </w:rPr>
        <w:t>为进一步规范完善我省</w:t>
      </w:r>
      <w:r>
        <w:rPr>
          <w:rFonts w:hint="eastAsia" w:ascii="仿宋_GB2312" w:hAnsi="仿宋_GB2312" w:eastAsia="仿宋_GB2312"/>
          <w:i w:val="0"/>
          <w:color w:val="333333"/>
          <w:spacing w:val="0"/>
          <w:sz w:val="32"/>
          <w:szCs w:val="32"/>
          <w:lang w:eastAsia="zh-CN"/>
        </w:rPr>
        <w:t>能源</w:t>
      </w:r>
      <w:r>
        <w:rPr>
          <w:rFonts w:hint="eastAsia" w:ascii="仿宋_GB2312" w:hAnsi="仿宋_GB2312" w:eastAsia="仿宋_GB2312"/>
          <w:i w:val="0"/>
          <w:color w:val="333333"/>
          <w:spacing w:val="0"/>
          <w:sz w:val="32"/>
          <w:szCs w:val="32"/>
        </w:rPr>
        <w:t>领域固定资产投资项目节能审查工作,</w:t>
      </w:r>
      <w:r>
        <w:rPr>
          <w:rFonts w:ascii="仿宋_GB2312" w:hAnsi="仿宋_GB2312" w:eastAsia="仿宋_GB2312"/>
          <w:i w:val="0"/>
          <w:color w:val="333333"/>
          <w:spacing w:val="0"/>
          <w:sz w:val="32"/>
          <w:szCs w:val="32"/>
        </w:rPr>
        <w:t>促进我省能源领域固定资产投资项目科学合理利用能源，加强用能管理，推进能源节约，防止能源浪费，提高能源利用效率，推动实现我省能源领域碳达峰碳中和，</w:t>
      </w:r>
      <w:r>
        <w:rPr>
          <w:rFonts w:hint="eastAsia" w:ascii="仿宋_GB2312" w:hAnsi="仿宋_GB2312" w:eastAsia="仿宋_GB2312"/>
          <w:i w:val="0"/>
          <w:color w:val="333333"/>
          <w:spacing w:val="0"/>
          <w:sz w:val="32"/>
          <w:szCs w:val="32"/>
        </w:rPr>
        <w:t>根据《中华人民共和国节约能源法》《中华人民共和国行政许可法》《固定资产投资项目节能审查办法》(国家发展改革委2023年第2号令)和《贵州省节约能源条例》《贵州省固定资产投资项目节能审查实施办法》(黔发改环资〔2023〕591号)等有关法律法规、</w:t>
      </w:r>
      <w:r>
        <w:rPr>
          <w:rFonts w:hint="eastAsia" w:ascii="仿宋_GB2312" w:hAnsi="仿宋_GB2312" w:eastAsia="仿宋_GB2312"/>
          <w:i w:val="0"/>
          <w:color w:val="333333"/>
          <w:spacing w:val="0"/>
          <w:sz w:val="32"/>
          <w:szCs w:val="32"/>
          <w:lang w:val="en-US" w:eastAsia="zh-CN"/>
        </w:rPr>
        <w:t>办法、条例</w:t>
      </w:r>
      <w:r>
        <w:rPr>
          <w:rFonts w:hint="eastAsia" w:ascii="仿宋_GB2312" w:hAnsi="仿宋_GB2312" w:eastAsia="仿宋_GB2312"/>
          <w:i w:val="0"/>
          <w:color w:val="333333"/>
          <w:spacing w:val="0"/>
          <w:sz w:val="32"/>
          <w:szCs w:val="32"/>
        </w:rPr>
        <w:t>,结合我省</w:t>
      </w:r>
      <w:r>
        <w:rPr>
          <w:rFonts w:hint="eastAsia" w:ascii="仿宋_GB2312" w:hAnsi="仿宋_GB2312" w:eastAsia="仿宋_GB2312"/>
          <w:i w:val="0"/>
          <w:color w:val="333333"/>
          <w:spacing w:val="0"/>
          <w:sz w:val="32"/>
          <w:szCs w:val="32"/>
          <w:lang w:eastAsia="zh-CN"/>
        </w:rPr>
        <w:t>能源领域</w:t>
      </w:r>
      <w:r>
        <w:rPr>
          <w:rFonts w:hint="eastAsia" w:ascii="仿宋_GB2312" w:hAnsi="仿宋_GB2312" w:eastAsia="仿宋_GB2312"/>
          <w:i w:val="0"/>
          <w:color w:val="333333"/>
          <w:spacing w:val="0"/>
          <w:sz w:val="32"/>
          <w:szCs w:val="32"/>
        </w:rPr>
        <w:t>实际,制定本</w:t>
      </w:r>
      <w:r>
        <w:rPr>
          <w:rFonts w:hint="eastAsia" w:ascii="仿宋_GB2312" w:hAnsi="仿宋_GB2312" w:eastAsia="仿宋_GB2312"/>
          <w:i w:val="0"/>
          <w:color w:val="333333"/>
          <w:spacing w:val="0"/>
          <w:sz w:val="32"/>
          <w:szCs w:val="32"/>
          <w:lang w:eastAsia="zh-CN"/>
        </w:rPr>
        <w:t>实施</w:t>
      </w:r>
      <w:r>
        <w:rPr>
          <w:rFonts w:hint="eastAsia" w:ascii="仿宋_GB2312" w:hAnsi="仿宋_GB2312" w:eastAsia="仿宋_GB2312"/>
          <w:i w:val="0"/>
          <w:color w:val="333333"/>
          <w:spacing w:val="0"/>
          <w:sz w:val="32"/>
          <w:szCs w:val="32"/>
        </w:rPr>
        <w:t>办法。</w:t>
      </w:r>
    </w:p>
    <w:p>
      <w:pPr>
        <w:pStyle w:val="1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40" w:firstLineChars="200"/>
        <w:rPr>
          <w:rFonts w:hint="eastAsia" w:ascii="仿宋_GB2312" w:hAnsi="仿宋_GB2312" w:eastAsia="仿宋_GB2312"/>
          <w:i w:val="0"/>
          <w:color w:val="333333"/>
          <w:spacing w:val="0"/>
          <w:sz w:val="32"/>
          <w:szCs w:val="32"/>
          <w:lang w:val="en-US" w:eastAsia="zh-CN"/>
        </w:rPr>
      </w:pPr>
      <w:r>
        <w:rPr>
          <w:rFonts w:hint="eastAsia" w:ascii="仿宋_GB2312" w:hAnsi="仿宋_GB2312" w:eastAsia="仿宋_GB2312"/>
          <w:i w:val="0"/>
          <w:color w:val="333333"/>
          <w:spacing w:val="0"/>
          <w:sz w:val="32"/>
          <w:szCs w:val="32"/>
          <w:lang w:val="en-US" w:eastAsia="zh-CN"/>
        </w:rPr>
        <w:t xml:space="preserve"> </w:t>
      </w:r>
      <w:r>
        <w:rPr>
          <w:rFonts w:hint="eastAsia" w:ascii="仿宋_GB2312" w:hAnsi="仿宋_GB2312" w:eastAsia="仿宋_GB2312"/>
          <w:i w:val="0"/>
          <w:color w:val="333333"/>
          <w:spacing w:val="0"/>
          <w:sz w:val="32"/>
          <w:szCs w:val="32"/>
        </w:rPr>
        <w:t>本实施办法适用于各级</w:t>
      </w:r>
      <w:r>
        <w:rPr>
          <w:rFonts w:hint="eastAsia" w:ascii="仿宋_GB2312" w:hAnsi="仿宋_GB2312" w:eastAsia="仿宋_GB2312"/>
          <w:i w:val="0"/>
          <w:color w:val="333333"/>
          <w:spacing w:val="0"/>
          <w:sz w:val="32"/>
          <w:szCs w:val="32"/>
          <w:lang w:eastAsia="zh-CN"/>
        </w:rPr>
        <w:t>能源领域</w:t>
      </w:r>
      <w:r>
        <w:rPr>
          <w:rFonts w:hint="eastAsia" w:ascii="仿宋_GB2312" w:hAnsi="仿宋_GB2312" w:eastAsia="仿宋_GB2312"/>
          <w:i w:val="0"/>
          <w:color w:val="333333"/>
          <w:spacing w:val="0"/>
          <w:sz w:val="32"/>
          <w:szCs w:val="32"/>
        </w:rPr>
        <w:t>节能审查机关管理的在我省建设的</w:t>
      </w:r>
      <w:r>
        <w:rPr>
          <w:rFonts w:hint="eastAsia" w:ascii="仿宋_GB2312" w:hAnsi="仿宋_GB2312" w:eastAsia="仿宋_GB2312"/>
          <w:i w:val="0"/>
          <w:color w:val="333333"/>
          <w:spacing w:val="0"/>
          <w:sz w:val="32"/>
          <w:szCs w:val="32"/>
          <w:lang w:eastAsia="zh-CN"/>
        </w:rPr>
        <w:t>能源</w:t>
      </w:r>
      <w:r>
        <w:rPr>
          <w:rFonts w:hint="eastAsia" w:ascii="仿宋_GB2312" w:hAnsi="仿宋_GB2312" w:eastAsia="仿宋_GB2312"/>
          <w:i w:val="0"/>
          <w:color w:val="333333"/>
          <w:spacing w:val="0"/>
          <w:sz w:val="32"/>
          <w:szCs w:val="32"/>
        </w:rPr>
        <w:t>领域固定资产投资项目。</w:t>
      </w:r>
      <w:r>
        <w:rPr>
          <w:rFonts w:hint="eastAsia" w:ascii="仿宋_GB2312" w:hAnsi="仿宋_GB2312" w:eastAsia="仿宋_GB2312"/>
          <w:i w:val="0"/>
          <w:color w:val="333333"/>
          <w:spacing w:val="0"/>
          <w:sz w:val="32"/>
          <w:szCs w:val="32"/>
          <w:shd w:val="clear" w:color="auto" w:fill="FFFFFF"/>
        </w:rPr>
        <w:t>本</w:t>
      </w:r>
      <w:r>
        <w:rPr>
          <w:rFonts w:hint="eastAsia" w:ascii="仿宋_GB2312" w:hAnsi="仿宋_GB2312" w:eastAsia="仿宋_GB2312"/>
          <w:i w:val="0"/>
          <w:color w:val="333333"/>
          <w:spacing w:val="0"/>
          <w:sz w:val="32"/>
          <w:szCs w:val="32"/>
          <w:shd w:val="clear" w:color="auto" w:fill="FFFFFF"/>
          <w:lang w:eastAsia="zh-CN"/>
        </w:rPr>
        <w:t>实施</w:t>
      </w:r>
      <w:r>
        <w:rPr>
          <w:rFonts w:hint="eastAsia" w:ascii="仿宋_GB2312" w:hAnsi="仿宋_GB2312" w:eastAsia="仿宋_GB2312"/>
          <w:i w:val="0"/>
          <w:color w:val="333333"/>
          <w:spacing w:val="0"/>
          <w:sz w:val="32"/>
          <w:szCs w:val="32"/>
          <w:shd w:val="clear" w:color="auto" w:fill="FFFFFF"/>
        </w:rPr>
        <w:t>办法所称节能审查，是指根据节能法律法规、政策标准等，对项目能源消</w:t>
      </w:r>
      <w:r>
        <w:rPr>
          <w:rFonts w:hint="eastAsia" w:ascii="仿宋_GB2312" w:hAnsi="仿宋_GB2312" w:eastAsia="仿宋_GB2312"/>
          <w:i w:val="0"/>
          <w:color w:val="333333"/>
          <w:spacing w:val="-6"/>
          <w:sz w:val="32"/>
          <w:szCs w:val="32"/>
          <w:shd w:val="clear" w:color="auto" w:fill="FFFFFF"/>
        </w:rPr>
        <w:t>费、能效水平及节能措施等情况进行审查并形成审查意见的行为。</w:t>
      </w:r>
    </w:p>
    <w:p>
      <w:pPr>
        <w:pStyle w:val="1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right="0" w:rightChars="0" w:firstLine="640" w:firstLineChars="200"/>
        <w:rPr>
          <w:rFonts w:hint="eastAsia" w:ascii="仿宋_GB2312" w:hAnsi="仿宋_GB2312" w:eastAsia="仿宋_GB2312"/>
          <w:i w:val="0"/>
          <w:color w:val="333333"/>
          <w:spacing w:val="0"/>
          <w:sz w:val="32"/>
          <w:szCs w:val="32"/>
          <w:lang w:eastAsia="zh-CN"/>
        </w:rPr>
      </w:pPr>
      <w:r>
        <w:rPr>
          <w:rFonts w:hint="eastAsia" w:ascii="仿宋_GB2312" w:hAnsi="仿宋_GB2312" w:eastAsia="仿宋_GB2312"/>
          <w:i w:val="0"/>
          <w:color w:val="333333"/>
          <w:spacing w:val="0"/>
          <w:sz w:val="32"/>
          <w:szCs w:val="32"/>
          <w:lang w:eastAsia="zh-CN"/>
        </w:rPr>
        <w:t>第三条</w:t>
      </w:r>
      <w:r>
        <w:rPr>
          <w:rFonts w:hint="eastAsia" w:ascii="仿宋_GB2312" w:hAnsi="仿宋_GB2312" w:eastAsia="仿宋_GB2312"/>
          <w:i w:val="0"/>
          <w:color w:val="FF0000"/>
          <w:spacing w:val="0"/>
          <w:sz w:val="32"/>
          <w:szCs w:val="32"/>
          <w:lang w:val="en-US" w:eastAsia="zh-CN"/>
        </w:rPr>
        <w:t xml:space="preserve">  </w:t>
      </w:r>
      <w:r>
        <w:rPr>
          <w:rFonts w:hint="eastAsia" w:ascii="仿宋_GB2312" w:hAnsi="仿宋_GB2312" w:eastAsia="仿宋_GB2312"/>
          <w:i w:val="0"/>
          <w:color w:val="333333"/>
          <w:spacing w:val="0"/>
          <w:sz w:val="32"/>
          <w:szCs w:val="32"/>
          <w:shd w:val="clear" w:color="auto" w:fill="FFFFFF"/>
          <w:lang w:val="en-US" w:eastAsia="zh-CN"/>
        </w:rPr>
        <w:t>固定资产投资项目节能审查意见是项目开工建设、竣工验收和运营管理的重要依据。政府投资项目，建设单位在报送项目可行性研究报告前，需取得节能审查机关出具的节能审查意见。企业投资项目，建设单位需在开工建设前取得节能审查机关出具的节能审查意见。未按本办法规定进行节能审查，或节能审查未通过的项目，建设单位不得开工建设，已经建成的不得投入生产、使用。</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eastAsia" w:ascii="仿宋_GB2312" w:hAnsi="仿宋_GB2312" w:eastAsia="仿宋_GB2312"/>
          <w:i w:val="0"/>
          <w:color w:val="333333"/>
          <w:spacing w:val="0"/>
          <w:sz w:val="32"/>
          <w:szCs w:val="32"/>
          <w:shd w:val="clear" w:color="auto" w:fill="FFFFFF"/>
          <w:lang w:val="en-US" w:eastAsia="zh-CN"/>
        </w:rPr>
      </w:pPr>
      <w:r>
        <w:rPr>
          <w:rFonts w:hint="eastAsia" w:ascii="仿宋_GB2312" w:hAnsi="仿宋_GB2312" w:eastAsia="仿宋_GB2312"/>
          <w:i w:val="0"/>
          <w:color w:val="333333"/>
          <w:spacing w:val="0"/>
          <w:sz w:val="32"/>
          <w:szCs w:val="32"/>
          <w:shd w:val="clear" w:color="auto" w:fill="FFFFFF"/>
          <w:lang w:val="en-US" w:eastAsia="zh-CN"/>
        </w:rPr>
        <w:t>第四条  固定资产投资项目节能审查相关工作经费，按照财政预算管理有关规定纳入部门预算，并按照规定程序向同级财政部门申请。对项目进行节能审查不得收取任何费用。</w:t>
      </w:r>
    </w:p>
    <w:p>
      <w:pPr>
        <w:keepNext w:val="0"/>
        <w:keepLines w:val="0"/>
        <w:pageBreakBefore w:val="0"/>
        <w:numPr>
          <w:ilvl w:val="0"/>
          <w:numId w:val="0"/>
        </w:numPr>
        <w:kinsoku/>
        <w:wordWrap/>
        <w:overflowPunct/>
        <w:topLinePunct w:val="0"/>
        <w:autoSpaceDE/>
        <w:autoSpaceDN/>
        <w:bidi w:val="0"/>
        <w:snapToGrid/>
        <w:spacing w:line="560" w:lineRule="exact"/>
        <w:ind w:leftChars="200"/>
        <w:jc w:val="center"/>
        <w:rPr>
          <w:rStyle w:val="17"/>
          <w:rFonts w:hint="eastAsia" w:ascii="黑体" w:hAnsi="黑体" w:eastAsia="黑体"/>
          <w:b w:val="0"/>
          <w:bCs/>
          <w:i w:val="0"/>
          <w:color w:val="333333"/>
          <w:spacing w:val="0"/>
          <w:sz w:val="32"/>
          <w:szCs w:val="32"/>
        </w:rPr>
      </w:pPr>
      <w:r>
        <w:rPr>
          <w:rStyle w:val="17"/>
          <w:rFonts w:hint="eastAsia" w:ascii="黑体" w:hAnsi="黑体" w:eastAsia="黑体"/>
          <w:b w:val="0"/>
          <w:bCs/>
          <w:i w:val="0"/>
          <w:color w:val="333333"/>
          <w:spacing w:val="0"/>
          <w:sz w:val="32"/>
          <w:szCs w:val="32"/>
        </w:rPr>
        <w:t>第二章</w:t>
      </w:r>
      <w:r>
        <w:rPr>
          <w:rStyle w:val="17"/>
          <w:rFonts w:hint="eastAsia" w:ascii="黑体" w:hAnsi="黑体" w:eastAsia="黑体"/>
          <w:b w:val="0"/>
          <w:bCs/>
          <w:i w:val="0"/>
          <w:color w:val="333333"/>
          <w:spacing w:val="0"/>
          <w:sz w:val="32"/>
          <w:szCs w:val="32"/>
          <w:lang w:val="en-US" w:eastAsia="zh-CN"/>
        </w:rPr>
        <w:t xml:space="preserve">  </w:t>
      </w:r>
      <w:r>
        <w:rPr>
          <w:rStyle w:val="17"/>
          <w:rFonts w:hint="eastAsia" w:ascii="黑体" w:hAnsi="黑体" w:eastAsia="黑体"/>
          <w:b w:val="0"/>
          <w:bCs/>
          <w:i w:val="0"/>
          <w:color w:val="333333"/>
          <w:spacing w:val="0"/>
          <w:sz w:val="32"/>
          <w:szCs w:val="32"/>
        </w:rPr>
        <w:t>管理职责</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right="0" w:rightChars="0" w:firstLine="640" w:firstLineChars="200"/>
        <w:rPr>
          <w:rFonts w:hint="eastAsia" w:ascii="仿宋_GB2312" w:hAnsi="仿宋_GB2312" w:eastAsia="仿宋_GB2312"/>
          <w:i w:val="0"/>
          <w:color w:val="333333"/>
          <w:spacing w:val="0"/>
          <w:sz w:val="32"/>
          <w:szCs w:val="32"/>
          <w:lang w:eastAsia="zh-CN"/>
        </w:rPr>
      </w:pPr>
      <w:r>
        <w:rPr>
          <w:rFonts w:hint="eastAsia" w:ascii="仿宋_GB2312" w:hAnsi="仿宋_GB2312" w:eastAsia="仿宋_GB2312"/>
          <w:i w:val="0"/>
          <w:color w:val="333333"/>
          <w:spacing w:val="0"/>
          <w:sz w:val="32"/>
          <w:szCs w:val="32"/>
          <w:lang w:eastAsia="zh-CN"/>
        </w:rPr>
        <w:t>第五条</w:t>
      </w:r>
      <w:r>
        <w:rPr>
          <w:rFonts w:hint="eastAsia" w:ascii="仿宋_GB2312" w:hAnsi="仿宋_GB2312" w:eastAsia="仿宋_GB2312"/>
          <w:i w:val="0"/>
          <w:color w:val="333333"/>
          <w:spacing w:val="0"/>
          <w:sz w:val="32"/>
          <w:szCs w:val="32"/>
          <w:lang w:val="en-US" w:eastAsia="zh-CN"/>
        </w:rPr>
        <w:t xml:space="preserve">  </w:t>
      </w:r>
      <w:r>
        <w:rPr>
          <w:rFonts w:hint="eastAsia" w:ascii="仿宋_GB2312" w:hAnsi="仿宋_GB2312" w:eastAsia="仿宋_GB2312"/>
          <w:i w:val="0"/>
          <w:color w:val="333333"/>
          <w:spacing w:val="0"/>
          <w:sz w:val="32"/>
          <w:szCs w:val="32"/>
          <w:lang w:eastAsia="zh-CN"/>
        </w:rPr>
        <w:t>能源领域</w:t>
      </w:r>
      <w:r>
        <w:rPr>
          <w:rFonts w:hint="eastAsia" w:ascii="仿宋_GB2312" w:hAnsi="仿宋_GB2312" w:eastAsia="仿宋_GB2312"/>
          <w:i w:val="0"/>
          <w:color w:val="333333"/>
          <w:spacing w:val="0"/>
          <w:sz w:val="32"/>
          <w:szCs w:val="32"/>
        </w:rPr>
        <w:t>固定资产投资项目</w:t>
      </w:r>
      <w:r>
        <w:rPr>
          <w:rFonts w:hint="eastAsia" w:ascii="仿宋_GB2312" w:hAnsi="仿宋_GB2312" w:eastAsia="仿宋_GB2312"/>
          <w:i w:val="0"/>
          <w:color w:val="333333"/>
          <w:spacing w:val="0"/>
          <w:sz w:val="32"/>
          <w:szCs w:val="32"/>
          <w:lang w:eastAsia="zh-CN"/>
        </w:rPr>
        <w:t>节能审查按照项目年综合能源消费量及管理权限实行分级管理</w:t>
      </w:r>
      <w:r>
        <w:rPr>
          <w:rFonts w:hint="eastAsia" w:ascii="仿宋_GB2312" w:hAnsi="仿宋_GB2312" w:eastAsia="仿宋_GB2312"/>
          <w:i w:val="0"/>
          <w:color w:val="333333"/>
          <w:spacing w:val="0"/>
          <w:sz w:val="32"/>
          <w:szCs w:val="32"/>
        </w:rPr>
        <w:t>。省</w:t>
      </w:r>
      <w:r>
        <w:rPr>
          <w:rFonts w:hint="eastAsia" w:ascii="仿宋_GB2312" w:hAnsi="仿宋_GB2312" w:eastAsia="仿宋_GB2312"/>
          <w:i w:val="0"/>
          <w:color w:val="333333"/>
          <w:spacing w:val="0"/>
          <w:sz w:val="32"/>
          <w:szCs w:val="32"/>
          <w:lang w:eastAsia="zh-CN"/>
        </w:rPr>
        <w:t>能源局</w:t>
      </w:r>
      <w:r>
        <w:rPr>
          <w:rFonts w:hint="eastAsia" w:ascii="仿宋_GB2312" w:hAnsi="仿宋_GB2312" w:eastAsia="仿宋_GB2312"/>
          <w:i w:val="0"/>
          <w:color w:val="333333"/>
          <w:spacing w:val="0"/>
          <w:sz w:val="32"/>
          <w:szCs w:val="32"/>
        </w:rPr>
        <w:t>负责制定并公开</w:t>
      </w:r>
      <w:r>
        <w:rPr>
          <w:rFonts w:hint="eastAsia" w:ascii="仿宋_GB2312" w:hAnsi="仿宋_GB2312" w:eastAsia="仿宋_GB2312"/>
          <w:i w:val="0"/>
          <w:color w:val="333333"/>
          <w:spacing w:val="0"/>
          <w:sz w:val="32"/>
          <w:szCs w:val="32"/>
          <w:lang w:eastAsia="zh-CN"/>
        </w:rPr>
        <w:t>能源领域节能审查</w:t>
      </w:r>
      <w:r>
        <w:rPr>
          <w:rFonts w:hint="eastAsia" w:ascii="仿宋_GB2312" w:hAnsi="仿宋_GB2312" w:eastAsia="仿宋_GB2312"/>
          <w:i w:val="0"/>
          <w:color w:val="333333"/>
          <w:spacing w:val="0"/>
          <w:sz w:val="32"/>
          <w:szCs w:val="32"/>
        </w:rPr>
        <w:t>服务指南,列明申报材料、受理方式、审查条件、办理流程、办理时限等,</w:t>
      </w:r>
      <w:r>
        <w:rPr>
          <w:rFonts w:hint="eastAsia" w:ascii="仿宋_GB2312" w:hAnsi="仿宋_GB2312" w:eastAsia="仿宋_GB2312"/>
          <w:i w:val="0"/>
          <w:color w:val="333333"/>
          <w:spacing w:val="0"/>
          <w:sz w:val="32"/>
          <w:szCs w:val="32"/>
          <w:lang w:eastAsia="zh-CN"/>
        </w:rPr>
        <w:t>组织</w:t>
      </w:r>
      <w:r>
        <w:rPr>
          <w:rFonts w:hint="eastAsia" w:ascii="仿宋_GB2312" w:hAnsi="仿宋_GB2312" w:eastAsia="仿宋_GB2312"/>
          <w:i w:val="0"/>
          <w:color w:val="333333"/>
          <w:spacing w:val="0"/>
          <w:sz w:val="32"/>
          <w:szCs w:val="32"/>
        </w:rPr>
        <w:t>开展业务培训,对</w:t>
      </w:r>
      <w:r>
        <w:rPr>
          <w:rFonts w:hint="eastAsia" w:ascii="仿宋_GB2312" w:hAnsi="仿宋_GB2312" w:eastAsia="仿宋_GB2312"/>
          <w:i w:val="0"/>
          <w:color w:val="333333"/>
          <w:spacing w:val="0"/>
          <w:sz w:val="32"/>
          <w:szCs w:val="32"/>
          <w:lang w:eastAsia="zh-CN"/>
        </w:rPr>
        <w:t>全省能源</w:t>
      </w:r>
      <w:r>
        <w:rPr>
          <w:rFonts w:hint="eastAsia" w:ascii="仿宋_GB2312" w:hAnsi="仿宋_GB2312" w:eastAsia="仿宋_GB2312"/>
          <w:i w:val="0"/>
          <w:color w:val="333333"/>
          <w:spacing w:val="0"/>
          <w:sz w:val="32"/>
          <w:szCs w:val="32"/>
        </w:rPr>
        <w:t>领域固定资产投资项目节能审查工作进行</w:t>
      </w:r>
      <w:r>
        <w:rPr>
          <w:rFonts w:hint="eastAsia" w:ascii="仿宋_GB2312" w:hAnsi="仿宋_GB2312" w:eastAsia="仿宋_GB2312"/>
          <w:i w:val="0"/>
          <w:color w:val="333333"/>
          <w:spacing w:val="0"/>
          <w:sz w:val="32"/>
          <w:szCs w:val="32"/>
          <w:lang w:eastAsia="zh-CN"/>
        </w:rPr>
        <w:t>监督和</w:t>
      </w:r>
      <w:r>
        <w:rPr>
          <w:rFonts w:hint="eastAsia" w:ascii="仿宋_GB2312" w:hAnsi="仿宋_GB2312" w:eastAsia="仿宋_GB2312"/>
          <w:i w:val="0"/>
          <w:color w:val="333333"/>
          <w:spacing w:val="0"/>
          <w:sz w:val="32"/>
          <w:szCs w:val="32"/>
        </w:rPr>
        <w:t>指导。</w:t>
      </w:r>
      <w:r>
        <w:rPr>
          <w:rFonts w:hint="eastAsia" w:ascii="仿宋_GB2312" w:hAnsi="仿宋_GB2312" w:eastAsia="仿宋_GB2312"/>
          <w:i w:val="0"/>
          <w:color w:val="333333"/>
          <w:spacing w:val="0"/>
          <w:sz w:val="32"/>
          <w:szCs w:val="32"/>
          <w:lang w:eastAsia="zh-CN"/>
        </w:rPr>
        <w:t>市（州）能源领域</w:t>
      </w:r>
      <w:r>
        <w:rPr>
          <w:rFonts w:hint="eastAsia" w:ascii="仿宋_GB2312" w:hAnsi="仿宋_GB2312" w:eastAsia="仿宋_GB2312"/>
          <w:i w:val="0"/>
          <w:color w:val="333333"/>
          <w:spacing w:val="0"/>
          <w:sz w:val="32"/>
          <w:szCs w:val="32"/>
        </w:rPr>
        <w:t>节能审查机关</w:t>
      </w:r>
      <w:r>
        <w:rPr>
          <w:rFonts w:hint="eastAsia" w:ascii="仿宋_GB2312" w:hAnsi="仿宋_GB2312" w:eastAsia="仿宋_GB2312"/>
          <w:i w:val="0"/>
          <w:color w:val="333333"/>
          <w:spacing w:val="0"/>
          <w:sz w:val="32"/>
          <w:szCs w:val="32"/>
          <w:lang w:eastAsia="zh-CN"/>
        </w:rPr>
        <w:t>按照省能源局制定的服务指南负责</w:t>
      </w:r>
      <w:r>
        <w:rPr>
          <w:rFonts w:hint="eastAsia" w:ascii="仿宋_GB2312" w:hAnsi="仿宋_GB2312" w:eastAsia="仿宋_GB2312"/>
          <w:i w:val="0"/>
          <w:color w:val="333333"/>
          <w:spacing w:val="0"/>
          <w:sz w:val="32"/>
          <w:szCs w:val="32"/>
        </w:rPr>
        <w:t>辖区内项目节能审查</w:t>
      </w:r>
      <w:r>
        <w:rPr>
          <w:rFonts w:hint="eastAsia" w:ascii="仿宋_GB2312" w:hAnsi="仿宋_GB2312" w:eastAsia="仿宋_GB2312"/>
          <w:i w:val="0"/>
          <w:color w:val="333333"/>
          <w:spacing w:val="0"/>
          <w:sz w:val="32"/>
          <w:szCs w:val="32"/>
          <w:lang w:eastAsia="zh-CN"/>
        </w:rPr>
        <w:t>与监督管理。</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eastAsia" w:ascii="仿宋_GB2312" w:hAnsi="仿宋_GB2312" w:eastAsia="仿宋_GB2312"/>
          <w:i w:val="0"/>
          <w:color w:val="333333"/>
          <w:spacing w:val="0"/>
          <w:sz w:val="32"/>
          <w:szCs w:val="32"/>
        </w:rPr>
      </w:pPr>
      <w:commentRangeStart w:id="0"/>
      <w:r>
        <w:rPr>
          <w:rFonts w:hint="eastAsia" w:ascii="仿宋_GB2312" w:hAnsi="仿宋_GB2312" w:eastAsia="仿宋_GB2312"/>
          <w:i w:val="0"/>
          <w:color w:val="333333"/>
          <w:spacing w:val="0"/>
          <w:sz w:val="32"/>
          <w:szCs w:val="32"/>
        </w:rPr>
        <w:t>第</w:t>
      </w:r>
      <w:r>
        <w:rPr>
          <w:rFonts w:hint="eastAsia" w:ascii="仿宋_GB2312" w:hAnsi="仿宋_GB2312" w:eastAsia="仿宋_GB2312"/>
          <w:i w:val="0"/>
          <w:color w:val="333333"/>
          <w:spacing w:val="0"/>
          <w:sz w:val="32"/>
          <w:szCs w:val="32"/>
          <w:lang w:eastAsia="zh-CN"/>
        </w:rPr>
        <w:t>六</w:t>
      </w:r>
      <w:r>
        <w:rPr>
          <w:rFonts w:hint="eastAsia" w:ascii="仿宋_GB2312" w:hAnsi="仿宋_GB2312" w:eastAsia="仿宋_GB2312"/>
          <w:i w:val="0"/>
          <w:color w:val="333333"/>
          <w:spacing w:val="0"/>
          <w:sz w:val="32"/>
          <w:szCs w:val="32"/>
        </w:rPr>
        <w:t>条</w:t>
      </w:r>
      <w:r>
        <w:rPr>
          <w:rFonts w:hint="eastAsia" w:ascii="仿宋_GB2312" w:hAnsi="仿宋_GB2312" w:eastAsia="仿宋_GB2312"/>
          <w:i w:val="0"/>
          <w:color w:val="333333"/>
          <w:spacing w:val="0"/>
          <w:sz w:val="32"/>
          <w:szCs w:val="32"/>
          <w:lang w:val="en-US" w:eastAsia="zh-CN"/>
        </w:rPr>
        <w:t xml:space="preserve">  新建项目</w:t>
      </w:r>
      <w:r>
        <w:rPr>
          <w:rFonts w:hint="eastAsia" w:ascii="仿宋_GB2312" w:hAnsi="仿宋_GB2312" w:eastAsia="仿宋_GB2312"/>
          <w:i w:val="0"/>
          <w:color w:val="333333"/>
          <w:spacing w:val="0"/>
          <w:sz w:val="32"/>
          <w:szCs w:val="32"/>
          <w:shd w:val="clear" w:color="auto" w:fill="FFFFFF"/>
        </w:rPr>
        <w:t>年综合能源消费量（电力折算系数按当量值，下同）</w:t>
      </w:r>
      <w:r>
        <w:rPr>
          <w:rFonts w:hint="eastAsia" w:ascii="仿宋_GB2312" w:hAnsi="仿宋_GB2312" w:eastAsia="仿宋_GB2312"/>
          <w:i w:val="0"/>
          <w:color w:val="333333"/>
          <w:spacing w:val="0"/>
          <w:sz w:val="32"/>
          <w:szCs w:val="32"/>
          <w:shd w:val="clear" w:color="auto" w:fill="FFFFFF"/>
          <w:lang w:val="en-US" w:eastAsia="zh-CN"/>
        </w:rPr>
        <w:t>5</w:t>
      </w:r>
      <w:r>
        <w:rPr>
          <w:rFonts w:hint="eastAsia" w:ascii="仿宋_GB2312" w:hAnsi="仿宋_GB2312" w:eastAsia="仿宋_GB2312"/>
          <w:i w:val="0"/>
          <w:color w:val="333333"/>
          <w:spacing w:val="0"/>
          <w:sz w:val="32"/>
          <w:szCs w:val="32"/>
          <w:shd w:val="clear" w:color="auto" w:fill="FFFFFF"/>
        </w:rPr>
        <w:t>000</w:t>
      </w:r>
      <w:r>
        <w:rPr>
          <w:rFonts w:hint="eastAsia" w:ascii="仿宋_GB2312" w:hAnsi="仿宋_GB2312" w:eastAsia="仿宋_GB2312"/>
          <w:i w:val="0"/>
          <w:color w:val="333333"/>
          <w:spacing w:val="-6"/>
          <w:sz w:val="32"/>
          <w:szCs w:val="32"/>
          <w:shd w:val="clear" w:color="auto" w:fill="FFFFFF"/>
        </w:rPr>
        <w:t>吨标准煤及以上</w:t>
      </w:r>
      <w:r>
        <w:rPr>
          <w:rFonts w:hint="eastAsia" w:ascii="仿宋_GB2312" w:hAnsi="仿宋_GB2312" w:eastAsia="仿宋_GB2312"/>
          <w:i w:val="0"/>
          <w:color w:val="333333"/>
          <w:spacing w:val="-6"/>
          <w:sz w:val="32"/>
          <w:szCs w:val="32"/>
          <w:shd w:val="clear" w:color="auto" w:fill="FFFFFF"/>
          <w:lang w:eastAsia="zh-CN"/>
        </w:rPr>
        <w:t>、改（扩）建项目</w:t>
      </w:r>
      <w:r>
        <w:rPr>
          <w:rFonts w:hint="eastAsia" w:ascii="仿宋_GB2312" w:hAnsi="仿宋_GB2312" w:eastAsia="仿宋_GB2312"/>
          <w:i w:val="0"/>
          <w:color w:val="333333"/>
          <w:spacing w:val="0"/>
          <w:sz w:val="32"/>
          <w:szCs w:val="32"/>
          <w:shd w:val="clear" w:color="auto" w:fill="FFFFFF"/>
        </w:rPr>
        <w:t>年综合能源消费增量</w:t>
      </w:r>
      <w:r>
        <w:rPr>
          <w:rFonts w:hint="eastAsia" w:ascii="仿宋_GB2312" w:hAnsi="仿宋_GB2312" w:eastAsia="仿宋_GB2312"/>
          <w:i w:val="0"/>
          <w:color w:val="333333"/>
          <w:spacing w:val="-11"/>
          <w:sz w:val="32"/>
          <w:szCs w:val="32"/>
          <w:highlight w:val="none"/>
          <w:shd w:val="clear" w:color="auto" w:fill="FFFFFF"/>
          <w:lang w:val="en-US" w:eastAsia="zh-CN"/>
        </w:rPr>
        <w:t>3000</w:t>
      </w:r>
      <w:r>
        <w:rPr>
          <w:rFonts w:hint="eastAsia" w:ascii="仿宋_GB2312" w:hAnsi="仿宋_GB2312" w:eastAsia="仿宋_GB2312"/>
          <w:i w:val="0"/>
          <w:color w:val="333333"/>
          <w:spacing w:val="-11"/>
          <w:sz w:val="32"/>
          <w:szCs w:val="32"/>
          <w:highlight w:val="none"/>
          <w:shd w:val="clear" w:color="auto" w:fill="FFFFFF"/>
          <w:lang w:val="en-US" w:eastAsia="zh-CN"/>
        </w:rPr>
        <w:t>吨</w:t>
      </w:r>
      <w:r>
        <w:rPr>
          <w:rFonts w:hint="eastAsia" w:ascii="仿宋_GB2312" w:hAnsi="仿宋_GB2312" w:eastAsia="仿宋_GB2312"/>
          <w:i w:val="0"/>
          <w:color w:val="333333"/>
          <w:spacing w:val="-11"/>
          <w:sz w:val="32"/>
          <w:szCs w:val="32"/>
          <w:shd w:val="clear" w:color="auto" w:fill="FFFFFF"/>
          <w:lang w:val="en-US" w:eastAsia="zh-CN"/>
        </w:rPr>
        <w:t>标准煤及以上、能源行业</w:t>
      </w:r>
      <w:r>
        <w:rPr>
          <w:rFonts w:hint="eastAsia" w:ascii="仿宋_GB2312" w:hAnsi="仿宋_GB2312" w:eastAsia="仿宋_GB2312"/>
          <w:i w:val="0"/>
          <w:color w:val="333333"/>
          <w:spacing w:val="-11"/>
          <w:sz w:val="32"/>
          <w:szCs w:val="32"/>
          <w:shd w:val="clear" w:color="auto" w:fill="FFFFFF"/>
          <w:lang w:eastAsia="zh-CN"/>
        </w:rPr>
        <w:t>“两高”项目</w:t>
      </w:r>
      <w:r>
        <w:rPr>
          <w:rFonts w:hint="eastAsia" w:ascii="仿宋_GB2312" w:hAnsi="仿宋_GB2312" w:eastAsia="仿宋_GB2312"/>
          <w:i w:val="0"/>
          <w:color w:val="333333"/>
          <w:spacing w:val="-11"/>
          <w:sz w:val="32"/>
          <w:szCs w:val="32"/>
          <w:shd w:val="clear" w:color="auto" w:fill="FFFFFF"/>
        </w:rPr>
        <w:t>，其节能审查由</w:t>
      </w:r>
      <w:r>
        <w:rPr>
          <w:rFonts w:hint="eastAsia" w:ascii="仿宋_GB2312" w:hAnsi="仿宋_GB2312" w:eastAsia="仿宋_GB2312"/>
          <w:i w:val="0"/>
          <w:color w:val="333333"/>
          <w:spacing w:val="-11"/>
          <w:sz w:val="32"/>
          <w:szCs w:val="32"/>
          <w:shd w:val="clear" w:color="auto" w:fill="FFFFFF"/>
          <w:lang w:eastAsia="zh-CN"/>
        </w:rPr>
        <w:t>省能源局负责</w:t>
      </w:r>
      <w:r>
        <w:rPr>
          <w:rFonts w:hint="eastAsia" w:ascii="仿宋_GB2312" w:hAnsi="仿宋_GB2312" w:eastAsia="仿宋_GB2312"/>
          <w:i w:val="0"/>
          <w:color w:val="333333"/>
          <w:spacing w:val="-11"/>
          <w:sz w:val="32"/>
          <w:szCs w:val="32"/>
          <w:shd w:val="clear" w:color="auto" w:fill="FFFFFF"/>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40" w:firstLineChars="200"/>
        <w:rPr>
          <w:rFonts w:hint="eastAsia" w:ascii="仿宋_GB2312" w:hAnsi="仿宋_GB2312" w:eastAsia="仿宋_GB2312"/>
          <w:i w:val="0"/>
          <w:color w:val="333333"/>
          <w:spacing w:val="0"/>
          <w:sz w:val="32"/>
          <w:szCs w:val="32"/>
          <w:lang w:val="en-US" w:eastAsia="zh-CN"/>
        </w:rPr>
      </w:pPr>
      <w:r>
        <w:rPr>
          <w:rFonts w:hint="eastAsia" w:ascii="仿宋_GB2312" w:hAnsi="仿宋_GB2312" w:eastAsia="仿宋_GB2312"/>
          <w:i w:val="0"/>
          <w:color w:val="333333"/>
          <w:spacing w:val="0"/>
          <w:sz w:val="32"/>
          <w:szCs w:val="32"/>
          <w:lang w:val="en-US" w:eastAsia="zh-CN"/>
        </w:rPr>
        <w:t>新建项目年综合能源消费量在5000吨标准煤以下、1000吨标准煤以上，</w:t>
      </w:r>
      <w:r>
        <w:rPr>
          <w:rFonts w:hint="eastAsia" w:ascii="仿宋_GB2312" w:hAnsi="仿宋_GB2312" w:eastAsia="仿宋_GB2312"/>
          <w:i w:val="0"/>
          <w:color w:val="333333"/>
          <w:spacing w:val="-6"/>
          <w:sz w:val="32"/>
          <w:szCs w:val="32"/>
          <w:shd w:val="clear" w:color="auto" w:fill="FFFFFF"/>
          <w:lang w:eastAsia="zh-CN"/>
        </w:rPr>
        <w:t>改（扩)建项目</w:t>
      </w:r>
      <w:r>
        <w:rPr>
          <w:rFonts w:hint="eastAsia" w:ascii="仿宋_GB2312" w:hAnsi="仿宋_GB2312" w:eastAsia="仿宋_GB2312"/>
          <w:i w:val="0"/>
          <w:color w:val="333333"/>
          <w:spacing w:val="0"/>
          <w:sz w:val="32"/>
          <w:szCs w:val="32"/>
          <w:shd w:val="clear" w:color="auto" w:fill="FFFFFF"/>
        </w:rPr>
        <w:t>年综合能源消费增量</w:t>
      </w:r>
      <w:r>
        <w:rPr>
          <w:rFonts w:hint="eastAsia" w:ascii="仿宋_GB2312" w:hAnsi="仿宋_GB2312" w:eastAsia="仿宋_GB2312"/>
          <w:i w:val="0"/>
          <w:color w:val="333333"/>
          <w:spacing w:val="0"/>
          <w:sz w:val="32"/>
          <w:szCs w:val="32"/>
          <w:highlight w:val="none"/>
          <w:shd w:val="clear" w:color="auto" w:fill="FFFFFF"/>
          <w:lang w:val="en-US" w:eastAsia="zh-CN"/>
        </w:rPr>
        <w:t>3</w:t>
      </w:r>
      <w:r>
        <w:rPr>
          <w:rFonts w:hint="eastAsia" w:ascii="仿宋_GB2312" w:hAnsi="仿宋_GB2312" w:eastAsia="仿宋_GB2312"/>
          <w:i w:val="0"/>
          <w:color w:val="333333"/>
          <w:spacing w:val="0"/>
          <w:sz w:val="32"/>
          <w:szCs w:val="32"/>
          <w:highlight w:val="none"/>
          <w:shd w:val="clear" w:color="auto" w:fill="FFFFFF"/>
          <w:lang w:val="en-US" w:eastAsia="zh-CN"/>
        </w:rPr>
        <w:t>000吨</w:t>
      </w:r>
      <w:r>
        <w:rPr>
          <w:rFonts w:hint="eastAsia" w:ascii="仿宋_GB2312" w:hAnsi="仿宋_GB2312" w:eastAsia="仿宋_GB2312"/>
          <w:i w:val="0"/>
          <w:color w:val="333333"/>
          <w:spacing w:val="0"/>
          <w:sz w:val="32"/>
          <w:szCs w:val="32"/>
          <w:shd w:val="clear" w:color="auto" w:fill="FFFFFF"/>
          <w:lang w:val="en-US" w:eastAsia="zh-CN"/>
        </w:rPr>
        <w:t>标准煤以下或</w:t>
      </w:r>
      <w:r>
        <w:rPr>
          <w:rFonts w:hint="eastAsia" w:ascii="仿宋_GB2312" w:hAnsi="仿宋_GB2312" w:eastAsia="仿宋_GB2312"/>
          <w:i w:val="0"/>
          <w:color w:val="333333"/>
          <w:spacing w:val="0"/>
          <w:sz w:val="32"/>
          <w:szCs w:val="32"/>
          <w:lang w:val="en-US" w:eastAsia="zh-CN"/>
        </w:rPr>
        <w:t>年电力消费量在500万千瓦时以上的</w:t>
      </w:r>
      <w:r>
        <w:rPr>
          <w:rFonts w:hint="eastAsia" w:ascii="仿宋_GB2312" w:hAnsi="仿宋_GB2312" w:eastAsia="仿宋_GB2312"/>
          <w:i w:val="0"/>
          <w:color w:val="333333"/>
          <w:spacing w:val="0"/>
          <w:sz w:val="32"/>
          <w:szCs w:val="32"/>
          <w:shd w:val="clear" w:color="auto" w:fill="FFFFFF"/>
          <w:lang w:eastAsia="zh-CN"/>
        </w:rPr>
        <w:t>能源领域</w:t>
      </w:r>
      <w:r>
        <w:rPr>
          <w:rFonts w:hint="eastAsia" w:ascii="仿宋_GB2312" w:hAnsi="仿宋_GB2312" w:eastAsia="仿宋_GB2312"/>
          <w:i w:val="0"/>
          <w:color w:val="333333"/>
          <w:spacing w:val="0"/>
          <w:sz w:val="32"/>
          <w:szCs w:val="32"/>
          <w:lang w:val="en-US" w:eastAsia="zh-CN"/>
        </w:rPr>
        <w:t>固定资产投资项目，其节能审查由市（州）能源管理部门负责。</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40" w:firstLineChars="200"/>
        <w:rPr>
          <w:rFonts w:hint="eastAsia" w:ascii="仿宋_GB2312" w:hAnsi="仿宋_GB2312" w:eastAsia="仿宋_GB2312"/>
          <w:i w:val="0"/>
          <w:color w:val="333333"/>
          <w:spacing w:val="0"/>
          <w:sz w:val="32"/>
          <w:szCs w:val="32"/>
          <w:lang w:eastAsia="zh-CN"/>
        </w:rPr>
      </w:pPr>
      <w:r>
        <w:rPr>
          <w:rFonts w:hint="eastAsia" w:ascii="仿宋_GB2312" w:hAnsi="仿宋_GB2312" w:eastAsia="仿宋_GB2312"/>
          <w:i w:val="0"/>
          <w:color w:val="333333"/>
          <w:spacing w:val="0"/>
          <w:sz w:val="32"/>
          <w:szCs w:val="32"/>
          <w:lang w:eastAsia="zh-CN"/>
        </w:rPr>
        <w:t>新建项目</w:t>
      </w:r>
      <w:r>
        <w:rPr>
          <w:rFonts w:hint="eastAsia" w:ascii="仿宋_GB2312" w:hAnsi="仿宋_GB2312" w:eastAsia="仿宋_GB2312"/>
          <w:i w:val="0"/>
          <w:color w:val="333333"/>
          <w:spacing w:val="0"/>
          <w:sz w:val="32"/>
          <w:szCs w:val="32"/>
        </w:rPr>
        <w:t>年综合能源消费量不满1000吨标准煤且年电力消费量不满500万千瓦时的固定资产投资项目,涉及国家秘密的固定资产投资项目以及用能工艺简单、节能潜力小的行业(具体行业目录由国家发展改革委制定公布并适时更新)的固定资产投资项目,可不单独编制节能报告,按项目管理权限实行年综合能源消费量报告管理制度。项目应按照相关节能标准、规范建设,项目可行性研究报告或项目申请报告应对项目能源利用、节能措施和能效水平等进行分析。</w:t>
      </w:r>
      <w:r>
        <w:rPr>
          <w:rFonts w:hint="eastAsia" w:ascii="仿宋_GB2312" w:hAnsi="仿宋_GB2312" w:eastAsia="仿宋_GB2312"/>
          <w:i w:val="0"/>
          <w:color w:val="333333"/>
          <w:spacing w:val="0"/>
          <w:sz w:val="32"/>
          <w:szCs w:val="32"/>
          <w:lang w:eastAsia="zh-CN"/>
        </w:rPr>
        <w:t>能源领域</w:t>
      </w:r>
      <w:r>
        <w:rPr>
          <w:rFonts w:hint="eastAsia" w:ascii="仿宋_GB2312" w:hAnsi="仿宋_GB2312" w:eastAsia="仿宋_GB2312"/>
          <w:i w:val="0"/>
          <w:color w:val="333333"/>
          <w:spacing w:val="0"/>
          <w:sz w:val="32"/>
          <w:szCs w:val="32"/>
        </w:rPr>
        <w:t>节能审查机关对项目不再单独进行节能审查,不再出具节能审查意见。</w:t>
      </w:r>
    </w:p>
    <w:commentRangeEnd w:id="0"/>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right="0"/>
        <w:jc w:val="center"/>
        <w:rPr>
          <w:rFonts w:hint="eastAsia" w:ascii="仿宋_GB2312" w:hAnsi="仿宋_GB2312" w:eastAsia="仿宋_GB2312"/>
          <w:i w:val="0"/>
          <w:color w:val="FF0000"/>
          <w:spacing w:val="-11"/>
          <w:sz w:val="32"/>
          <w:szCs w:val="32"/>
          <w:lang w:eastAsia="zh-CN"/>
        </w:rPr>
      </w:pPr>
      <w:r>
        <w:commentReference w:id="0"/>
      </w:r>
      <w:r>
        <w:rPr>
          <w:rFonts w:hint="eastAsia"/>
          <w:lang w:val="en-US" w:eastAsia="zh-CN"/>
        </w:rPr>
        <w:t xml:space="preserve"> </w:t>
      </w:r>
      <w:r>
        <w:rPr>
          <w:rFonts w:hint="eastAsia" w:ascii="黑体" w:hAnsi="黑体" w:eastAsia="黑体"/>
          <w:i w:val="0"/>
          <w:color w:val="333333"/>
          <w:spacing w:val="0"/>
          <w:sz w:val="32"/>
          <w:szCs w:val="32"/>
          <w:lang w:val="en-US" w:eastAsia="zh-CN"/>
        </w:rPr>
        <w:t>第三章  节能审查</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40" w:firstLineChars="200"/>
        <w:rPr>
          <w:rFonts w:ascii="仿宋_GB2312" w:hAnsi="仿宋_GB2312" w:eastAsia="仿宋_GB2312"/>
          <w:i w:val="0"/>
          <w:color w:val="333333"/>
          <w:spacing w:val="0"/>
          <w:sz w:val="32"/>
          <w:szCs w:val="32"/>
          <w:lang w:val="en-US" w:eastAsia="zh-CN"/>
        </w:rPr>
      </w:pPr>
      <w:r>
        <w:rPr>
          <w:rFonts w:ascii="仿宋_GB2312" w:hAnsi="仿宋_GB2312" w:eastAsia="仿宋_GB2312"/>
          <w:i w:val="0"/>
          <w:color w:val="333333"/>
          <w:spacing w:val="0"/>
          <w:sz w:val="32"/>
          <w:szCs w:val="32"/>
          <w:lang w:val="en-US" w:eastAsia="zh-CN"/>
        </w:rPr>
        <w:t>第</w:t>
      </w:r>
      <w:r>
        <w:rPr>
          <w:rFonts w:hint="eastAsia" w:ascii="仿宋_GB2312" w:hAnsi="仿宋_GB2312" w:eastAsia="仿宋_GB2312"/>
          <w:i w:val="0"/>
          <w:color w:val="333333"/>
          <w:spacing w:val="0"/>
          <w:sz w:val="32"/>
          <w:szCs w:val="32"/>
          <w:lang w:val="en-US" w:eastAsia="zh-CN"/>
        </w:rPr>
        <w:t>七</w:t>
      </w:r>
      <w:r>
        <w:rPr>
          <w:rFonts w:ascii="仿宋_GB2312" w:hAnsi="仿宋_GB2312" w:eastAsia="仿宋_GB2312"/>
          <w:i w:val="0"/>
          <w:color w:val="333333"/>
          <w:spacing w:val="0"/>
          <w:sz w:val="32"/>
          <w:szCs w:val="32"/>
          <w:lang w:val="en-US" w:eastAsia="zh-CN"/>
        </w:rPr>
        <w:t>条</w:t>
      </w:r>
      <w:r>
        <w:rPr>
          <w:rFonts w:hint="eastAsia" w:ascii="仿宋_GB2312" w:hAnsi="仿宋_GB2312" w:eastAsia="仿宋_GB2312"/>
          <w:i w:val="0"/>
          <w:color w:val="333333"/>
          <w:spacing w:val="0"/>
          <w:sz w:val="32"/>
          <w:szCs w:val="32"/>
          <w:lang w:val="en-US" w:eastAsia="zh-CN"/>
        </w:rPr>
        <w:t xml:space="preserve">  </w:t>
      </w:r>
      <w:r>
        <w:rPr>
          <w:rFonts w:ascii="仿宋_GB2312" w:hAnsi="仿宋_GB2312" w:eastAsia="仿宋_GB2312"/>
          <w:i w:val="0"/>
          <w:color w:val="333333"/>
          <w:spacing w:val="0"/>
          <w:sz w:val="32"/>
          <w:szCs w:val="32"/>
          <w:lang w:val="en-US" w:eastAsia="zh-CN"/>
        </w:rPr>
        <w:t>需进行节能审查的固定资产投资项目，建设单位应编制节能报告。项目节能报告应包括下列内容：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40" w:firstLineChars="200"/>
        <w:rPr>
          <w:rFonts w:ascii="仿宋_GB2312" w:hAnsi="仿宋_GB2312" w:eastAsia="仿宋_GB2312"/>
          <w:i w:val="0"/>
          <w:color w:val="333333"/>
          <w:spacing w:val="0"/>
          <w:sz w:val="32"/>
          <w:szCs w:val="32"/>
          <w:lang w:val="en-US" w:eastAsia="zh-CN"/>
        </w:rPr>
      </w:pPr>
      <w:r>
        <w:rPr>
          <w:rFonts w:ascii="仿宋_GB2312" w:hAnsi="仿宋_GB2312" w:eastAsia="仿宋_GB2312"/>
          <w:i w:val="0"/>
          <w:color w:val="333333"/>
          <w:spacing w:val="0"/>
          <w:sz w:val="32"/>
          <w:szCs w:val="32"/>
          <w:lang w:val="en-US" w:eastAsia="zh-CN"/>
        </w:rPr>
        <w:t>（一）项目概况；</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40" w:firstLineChars="200"/>
        <w:rPr>
          <w:rFonts w:ascii="仿宋_GB2312" w:hAnsi="仿宋_GB2312" w:eastAsia="仿宋_GB2312"/>
          <w:i w:val="0"/>
          <w:color w:val="333333"/>
          <w:spacing w:val="0"/>
          <w:sz w:val="32"/>
          <w:szCs w:val="32"/>
          <w:lang w:val="en-US" w:eastAsia="zh-CN"/>
        </w:rPr>
      </w:pPr>
      <w:r>
        <w:rPr>
          <w:rFonts w:ascii="仿宋_GB2312" w:hAnsi="仿宋_GB2312" w:eastAsia="仿宋_GB2312"/>
          <w:i w:val="0"/>
          <w:color w:val="333333"/>
          <w:spacing w:val="0"/>
          <w:sz w:val="32"/>
          <w:szCs w:val="32"/>
          <w:lang w:val="en-US" w:eastAsia="zh-CN"/>
        </w:rPr>
        <w:t>（二）分析评价依据；</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40" w:firstLineChars="200"/>
        <w:rPr>
          <w:rFonts w:ascii="仿宋_GB2312" w:hAnsi="仿宋_GB2312" w:eastAsia="仿宋_GB2312"/>
          <w:i w:val="0"/>
          <w:color w:val="333333"/>
          <w:spacing w:val="0"/>
          <w:sz w:val="32"/>
          <w:szCs w:val="32"/>
          <w:lang w:val="en-US" w:eastAsia="zh-CN"/>
        </w:rPr>
      </w:pPr>
      <w:r>
        <w:rPr>
          <w:rFonts w:ascii="仿宋_GB2312" w:hAnsi="仿宋_GB2312" w:eastAsia="仿宋_GB2312"/>
          <w:i w:val="0"/>
          <w:color w:val="333333"/>
          <w:spacing w:val="0"/>
          <w:sz w:val="32"/>
          <w:szCs w:val="32"/>
          <w:lang w:val="en-US" w:eastAsia="zh-CN"/>
        </w:rPr>
        <w:t>（三）项目建设及运营方案节能分析和比选，包括总平面布置、生产工艺、用能工艺、用能设备和能源计量器具等方面；</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40" w:firstLineChars="200"/>
        <w:rPr>
          <w:rFonts w:ascii="仿宋_GB2312" w:hAnsi="仿宋_GB2312" w:eastAsia="仿宋_GB2312"/>
          <w:i w:val="0"/>
          <w:color w:val="333333"/>
          <w:spacing w:val="0"/>
          <w:sz w:val="32"/>
          <w:szCs w:val="32"/>
          <w:lang w:val="en-US" w:eastAsia="zh-CN"/>
        </w:rPr>
      </w:pPr>
      <w:r>
        <w:rPr>
          <w:rFonts w:ascii="仿宋_GB2312" w:hAnsi="仿宋_GB2312" w:eastAsia="仿宋_GB2312"/>
          <w:i w:val="0"/>
          <w:color w:val="333333"/>
          <w:spacing w:val="0"/>
          <w:sz w:val="32"/>
          <w:szCs w:val="32"/>
          <w:lang w:val="en-US" w:eastAsia="zh-CN"/>
        </w:rPr>
        <w:t>（四）节能措施及其技术、经济论证；</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40" w:firstLineChars="200"/>
        <w:rPr>
          <w:rFonts w:ascii="仿宋_GB2312" w:hAnsi="仿宋_GB2312" w:eastAsia="仿宋_GB2312"/>
          <w:i w:val="0"/>
          <w:color w:val="333333"/>
          <w:spacing w:val="0"/>
          <w:sz w:val="32"/>
          <w:szCs w:val="32"/>
          <w:lang w:val="en-US" w:eastAsia="zh-CN"/>
        </w:rPr>
      </w:pPr>
      <w:r>
        <w:rPr>
          <w:rFonts w:ascii="仿宋_GB2312" w:hAnsi="仿宋_GB2312" w:eastAsia="仿宋_GB2312"/>
          <w:i w:val="0"/>
          <w:color w:val="333333"/>
          <w:spacing w:val="0"/>
          <w:sz w:val="32"/>
          <w:szCs w:val="32"/>
          <w:lang w:val="en-US" w:eastAsia="zh-CN"/>
        </w:rPr>
        <w:t>（五）项目能效水平、能源消费情况，包括单位产品能耗、单位产品化石能源消耗、单位增加值（产值）能耗、单位增加值（产值）化石能源消耗、能源消费量、能源消费结构、化石能源消费量、可再生能源消费量和供给保障情况、原料用能消费量；有关数据与国家、地方、行业标准及国际、国内行业水平的全面比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40" w:firstLineChars="200"/>
        <w:rPr>
          <w:rFonts w:ascii="仿宋_GB2312" w:hAnsi="仿宋_GB2312" w:eastAsia="仿宋_GB2312"/>
          <w:i w:val="0"/>
          <w:color w:val="333333"/>
          <w:spacing w:val="0"/>
          <w:sz w:val="32"/>
          <w:szCs w:val="32"/>
          <w:lang w:val="en-US" w:eastAsia="zh-CN"/>
        </w:rPr>
      </w:pPr>
      <w:r>
        <w:rPr>
          <w:rFonts w:ascii="仿宋_GB2312" w:hAnsi="仿宋_GB2312" w:eastAsia="仿宋_GB2312"/>
          <w:i w:val="0"/>
          <w:color w:val="333333"/>
          <w:spacing w:val="0"/>
          <w:sz w:val="32"/>
          <w:szCs w:val="32"/>
          <w:lang w:val="en-US" w:eastAsia="zh-CN"/>
        </w:rPr>
        <w:t>（六）项目实施对所在地完成节能目标任务的影响分析。具备碳排放统计核算条件的项目，应在节能报告中核算碳排放量、碳排放强度指标，提出降碳措施，分析项目碳排放情况对所在地完成降碳目标任务的影响。</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40" w:firstLineChars="200"/>
        <w:rPr>
          <w:rFonts w:hint="eastAsia" w:ascii="仿宋_GB2312" w:hAnsi="仿宋_GB2312" w:eastAsia="仿宋_GB2312"/>
          <w:i w:val="0"/>
          <w:color w:val="FF0000"/>
          <w:spacing w:val="0"/>
          <w:sz w:val="32"/>
          <w:szCs w:val="32"/>
          <w:lang w:eastAsia="zh-CN"/>
        </w:rPr>
      </w:pPr>
      <w:r>
        <w:rPr>
          <w:rFonts w:ascii="仿宋_GB2312" w:hAnsi="仿宋_GB2312" w:eastAsia="仿宋_GB2312"/>
          <w:i w:val="0"/>
          <w:color w:val="333333"/>
          <w:spacing w:val="0"/>
          <w:sz w:val="32"/>
          <w:szCs w:val="32"/>
          <w:lang w:val="en-US" w:eastAsia="zh-CN"/>
        </w:rPr>
        <w:t>建设单位应出具书面承诺，对节能报告的真实性、合法性和</w:t>
      </w:r>
      <w:r>
        <w:rPr>
          <w:rFonts w:ascii="仿宋_GB2312" w:hAnsi="仿宋_GB2312" w:eastAsia="仿宋_GB2312"/>
          <w:i w:val="0"/>
          <w:color w:val="333333"/>
          <w:spacing w:val="-6"/>
          <w:sz w:val="32"/>
          <w:szCs w:val="32"/>
          <w:lang w:val="en-US" w:eastAsia="zh-CN"/>
        </w:rPr>
        <w:t>完整性负责，不得以拆分或合并项目等不正当手段逃避节能审查。</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40" w:firstLineChars="200"/>
        <w:rPr>
          <w:rFonts w:ascii="仿宋_GB2312" w:hAnsi="仿宋_GB2312" w:eastAsia="仿宋_GB2312"/>
          <w:i w:val="0"/>
          <w:color w:val="333333"/>
          <w:spacing w:val="0"/>
          <w:sz w:val="32"/>
          <w:szCs w:val="32"/>
          <w:lang w:val="en-US" w:eastAsia="zh-CN"/>
        </w:rPr>
      </w:pPr>
      <w:r>
        <w:rPr>
          <w:rFonts w:ascii="仿宋_GB2312" w:hAnsi="仿宋_GB2312" w:eastAsia="仿宋_GB2312"/>
          <w:i w:val="0"/>
          <w:color w:val="333333"/>
          <w:spacing w:val="0"/>
          <w:sz w:val="32"/>
          <w:szCs w:val="32"/>
          <w:lang w:val="en-US" w:eastAsia="zh-CN"/>
        </w:rPr>
        <w:t>第</w:t>
      </w:r>
      <w:r>
        <w:rPr>
          <w:rFonts w:hint="eastAsia" w:ascii="仿宋_GB2312" w:hAnsi="仿宋_GB2312" w:eastAsia="仿宋_GB2312"/>
          <w:i w:val="0"/>
          <w:color w:val="333333"/>
          <w:spacing w:val="0"/>
          <w:sz w:val="32"/>
          <w:szCs w:val="32"/>
          <w:lang w:val="en-US" w:eastAsia="zh-CN"/>
        </w:rPr>
        <w:t>八</w:t>
      </w:r>
      <w:r>
        <w:rPr>
          <w:rFonts w:ascii="仿宋_GB2312" w:hAnsi="仿宋_GB2312" w:eastAsia="仿宋_GB2312"/>
          <w:i w:val="0"/>
          <w:color w:val="333333"/>
          <w:spacing w:val="0"/>
          <w:sz w:val="32"/>
          <w:szCs w:val="32"/>
          <w:lang w:val="en-US" w:eastAsia="zh-CN"/>
        </w:rPr>
        <w:t>条</w:t>
      </w:r>
      <w:r>
        <w:rPr>
          <w:rFonts w:hint="eastAsia" w:ascii="仿宋_GB2312" w:hAnsi="仿宋_GB2312" w:eastAsia="仿宋_GB2312"/>
          <w:i w:val="0"/>
          <w:color w:val="333333"/>
          <w:spacing w:val="0"/>
          <w:sz w:val="32"/>
          <w:szCs w:val="32"/>
          <w:lang w:val="en-US" w:eastAsia="zh-CN"/>
        </w:rPr>
        <w:t xml:space="preserve">  </w:t>
      </w:r>
      <w:r>
        <w:rPr>
          <w:rFonts w:ascii="仿宋_GB2312" w:hAnsi="仿宋_GB2312" w:eastAsia="仿宋_GB2312"/>
          <w:i w:val="0"/>
          <w:color w:val="333333"/>
          <w:spacing w:val="0"/>
          <w:sz w:val="32"/>
          <w:szCs w:val="32"/>
          <w:lang w:val="en-US" w:eastAsia="zh-CN"/>
        </w:rPr>
        <w:t>节能报告内容齐全、符合法定形式的，节能审查机关应当予以受理。内容不齐全或不符合法定形式的，节能审查机关应当当场或者5日内一次告知建设单位需要补正的全部内容，逾期不告知的，自收到报告之日起即为受理。</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right="0" w:rightChars="0" w:firstLine="640" w:firstLineChars="200"/>
        <w:rPr>
          <w:rFonts w:hint="eastAsia" w:ascii="仿宋_GB2312" w:hAnsi="仿宋_GB2312" w:eastAsia="仿宋_GB2312"/>
          <w:i w:val="0"/>
          <w:color w:val="333333"/>
          <w:spacing w:val="0"/>
          <w:sz w:val="32"/>
          <w:szCs w:val="32"/>
          <w:lang w:val="en-US" w:eastAsia="zh-CN"/>
        </w:rPr>
      </w:pPr>
      <w:r>
        <w:rPr>
          <w:rFonts w:hint="eastAsia" w:ascii="仿宋_GB2312" w:hAnsi="仿宋_GB2312" w:eastAsia="仿宋_GB2312"/>
          <w:i w:val="0"/>
          <w:color w:val="333333"/>
          <w:spacing w:val="0"/>
          <w:sz w:val="32"/>
          <w:szCs w:val="32"/>
          <w:lang w:val="en-US" w:eastAsia="zh-CN"/>
        </w:rPr>
        <w:t xml:space="preserve">第九条  </w:t>
      </w:r>
      <w:r>
        <w:rPr>
          <w:rFonts w:ascii="仿宋_GB2312" w:hAnsi="仿宋_GB2312" w:eastAsia="仿宋_GB2312"/>
          <w:i w:val="0"/>
          <w:color w:val="333333"/>
          <w:spacing w:val="0"/>
          <w:sz w:val="32"/>
          <w:szCs w:val="32"/>
          <w:lang w:val="en-US" w:eastAsia="zh-CN"/>
        </w:rPr>
        <w:t>节能审查机关受理节能报告后，应委托具备技术能力的机构进行评审，形成评审意见，作为节能审查的重要依据。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40" w:firstLineChars="200"/>
        <w:rPr>
          <w:rFonts w:ascii="仿宋_GB2312" w:hAnsi="仿宋_GB2312" w:eastAsia="仿宋_GB2312"/>
          <w:i w:val="0"/>
          <w:color w:val="333333"/>
          <w:spacing w:val="0"/>
          <w:sz w:val="32"/>
          <w:szCs w:val="32"/>
          <w:lang w:val="en-US" w:eastAsia="zh-CN"/>
        </w:rPr>
      </w:pPr>
      <w:r>
        <w:rPr>
          <w:rFonts w:ascii="仿宋_GB2312" w:hAnsi="仿宋_GB2312" w:eastAsia="仿宋_GB2312"/>
          <w:i w:val="0"/>
          <w:color w:val="333333"/>
          <w:spacing w:val="0"/>
          <w:sz w:val="32"/>
          <w:szCs w:val="32"/>
          <w:lang w:val="en-US" w:eastAsia="zh-CN"/>
        </w:rPr>
        <w:t>第十条</w:t>
      </w:r>
      <w:r>
        <w:rPr>
          <w:rFonts w:hint="eastAsia" w:ascii="仿宋_GB2312" w:hAnsi="仿宋_GB2312" w:eastAsia="仿宋_GB2312"/>
          <w:i w:val="0"/>
          <w:color w:val="333333"/>
          <w:spacing w:val="0"/>
          <w:sz w:val="32"/>
          <w:szCs w:val="32"/>
          <w:lang w:val="en-US" w:eastAsia="zh-CN"/>
        </w:rPr>
        <w:t xml:space="preserve">  </w:t>
      </w:r>
      <w:r>
        <w:rPr>
          <w:rFonts w:ascii="仿宋_GB2312" w:hAnsi="仿宋_GB2312" w:eastAsia="仿宋_GB2312"/>
          <w:i w:val="0"/>
          <w:color w:val="333333"/>
          <w:spacing w:val="0"/>
          <w:sz w:val="32"/>
          <w:szCs w:val="32"/>
          <w:lang w:val="en-US" w:eastAsia="zh-CN"/>
        </w:rPr>
        <w:t>节能审查机关应当从以下方面对项目节能报告进行审查：</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16" w:firstLineChars="200"/>
        <w:rPr>
          <w:rFonts w:ascii="仿宋_GB2312" w:hAnsi="仿宋_GB2312" w:eastAsia="仿宋_GB2312"/>
          <w:i w:val="0"/>
          <w:color w:val="333333"/>
          <w:spacing w:val="-6"/>
          <w:sz w:val="32"/>
          <w:szCs w:val="32"/>
          <w:lang w:val="en-US" w:eastAsia="zh-CN"/>
        </w:rPr>
      </w:pPr>
      <w:r>
        <w:rPr>
          <w:rFonts w:ascii="仿宋_GB2312" w:hAnsi="仿宋_GB2312" w:eastAsia="仿宋_GB2312"/>
          <w:i w:val="0"/>
          <w:color w:val="333333"/>
          <w:spacing w:val="-6"/>
          <w:sz w:val="32"/>
          <w:szCs w:val="32"/>
          <w:lang w:val="en-US" w:eastAsia="zh-CN"/>
        </w:rPr>
        <w:t>（一）项目是否符合节能有关法律法规、标准规范、政策要求；</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40" w:firstLineChars="200"/>
        <w:rPr>
          <w:rFonts w:ascii="仿宋_GB2312" w:hAnsi="仿宋_GB2312" w:eastAsia="仿宋_GB2312"/>
          <w:i w:val="0"/>
          <w:color w:val="333333"/>
          <w:spacing w:val="0"/>
          <w:sz w:val="32"/>
          <w:szCs w:val="32"/>
          <w:lang w:val="en-US" w:eastAsia="zh-CN"/>
        </w:rPr>
      </w:pPr>
      <w:r>
        <w:rPr>
          <w:rFonts w:ascii="仿宋_GB2312" w:hAnsi="仿宋_GB2312" w:eastAsia="仿宋_GB2312"/>
          <w:i w:val="0"/>
          <w:color w:val="333333"/>
          <w:spacing w:val="0"/>
          <w:sz w:val="32"/>
          <w:szCs w:val="32"/>
          <w:lang w:val="en-US" w:eastAsia="zh-CN"/>
        </w:rPr>
        <w:t>（二）项目用能分析是否客观准确，方法是否科学，结论是否准确；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40" w:firstLineChars="200"/>
        <w:rPr>
          <w:rFonts w:ascii="仿宋_GB2312" w:hAnsi="仿宋_GB2312" w:eastAsia="仿宋_GB2312"/>
          <w:i w:val="0"/>
          <w:color w:val="333333"/>
          <w:spacing w:val="0"/>
          <w:sz w:val="32"/>
          <w:szCs w:val="32"/>
          <w:lang w:val="en-US" w:eastAsia="zh-CN"/>
        </w:rPr>
      </w:pPr>
      <w:r>
        <w:rPr>
          <w:rFonts w:ascii="仿宋_GB2312" w:hAnsi="仿宋_GB2312" w:eastAsia="仿宋_GB2312"/>
          <w:i w:val="0"/>
          <w:color w:val="333333"/>
          <w:spacing w:val="0"/>
          <w:sz w:val="32"/>
          <w:szCs w:val="32"/>
          <w:lang w:val="en-US" w:eastAsia="zh-CN"/>
        </w:rPr>
        <w:t>（三）项目节能措施是否合理可行；</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40" w:firstLineChars="200"/>
        <w:rPr>
          <w:rFonts w:ascii="仿宋_GB2312" w:hAnsi="仿宋_GB2312" w:eastAsia="仿宋_GB2312"/>
          <w:i w:val="0"/>
          <w:color w:val="333333"/>
          <w:spacing w:val="0"/>
          <w:sz w:val="32"/>
          <w:szCs w:val="32"/>
          <w:lang w:val="en-US" w:eastAsia="zh-CN"/>
        </w:rPr>
      </w:pPr>
      <w:r>
        <w:rPr>
          <w:rFonts w:ascii="仿宋_GB2312" w:hAnsi="仿宋_GB2312" w:eastAsia="仿宋_GB2312"/>
          <w:i w:val="0"/>
          <w:color w:val="333333"/>
          <w:spacing w:val="0"/>
          <w:sz w:val="32"/>
          <w:szCs w:val="32"/>
          <w:lang w:val="en-US" w:eastAsia="zh-CN"/>
        </w:rPr>
        <w:t>（四）项目的能效水平、能源消费等相关数据核算是否准确，是否满足本地区节能工作管理要求。</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40" w:firstLineChars="200"/>
        <w:rPr>
          <w:rFonts w:ascii="仿宋_GB2312" w:hAnsi="仿宋_GB2312" w:eastAsia="仿宋_GB2312"/>
          <w:i w:val="0"/>
          <w:color w:val="333333"/>
          <w:spacing w:val="0"/>
          <w:sz w:val="32"/>
          <w:szCs w:val="32"/>
          <w:lang w:val="en-US" w:eastAsia="zh-CN"/>
        </w:rPr>
      </w:pPr>
      <w:r>
        <w:rPr>
          <w:rFonts w:ascii="仿宋_GB2312" w:hAnsi="仿宋_GB2312" w:eastAsia="仿宋_GB2312"/>
          <w:i w:val="0"/>
          <w:color w:val="333333"/>
          <w:spacing w:val="0"/>
          <w:sz w:val="32"/>
          <w:szCs w:val="32"/>
          <w:lang w:val="en-US" w:eastAsia="zh-CN"/>
        </w:rPr>
        <w:t>第十</w:t>
      </w:r>
      <w:r>
        <w:rPr>
          <w:rFonts w:hint="eastAsia" w:ascii="仿宋_GB2312" w:hAnsi="仿宋_GB2312" w:eastAsia="仿宋_GB2312"/>
          <w:i w:val="0"/>
          <w:color w:val="333333"/>
          <w:spacing w:val="0"/>
          <w:sz w:val="32"/>
          <w:szCs w:val="32"/>
          <w:lang w:val="en-US" w:eastAsia="zh-CN"/>
        </w:rPr>
        <w:t>一</w:t>
      </w:r>
      <w:r>
        <w:rPr>
          <w:rFonts w:ascii="仿宋_GB2312" w:hAnsi="仿宋_GB2312" w:eastAsia="仿宋_GB2312"/>
          <w:i w:val="0"/>
          <w:color w:val="333333"/>
          <w:spacing w:val="0"/>
          <w:sz w:val="32"/>
          <w:szCs w:val="32"/>
          <w:lang w:val="en-US" w:eastAsia="zh-CN"/>
        </w:rPr>
        <w:t>条</w:t>
      </w:r>
      <w:r>
        <w:rPr>
          <w:rFonts w:hint="eastAsia" w:ascii="仿宋_GB2312" w:hAnsi="仿宋_GB2312" w:eastAsia="仿宋_GB2312"/>
          <w:i w:val="0"/>
          <w:color w:val="333333"/>
          <w:spacing w:val="0"/>
          <w:sz w:val="32"/>
          <w:szCs w:val="32"/>
          <w:lang w:val="en-US" w:eastAsia="zh-CN"/>
        </w:rPr>
        <w:t xml:space="preserve">  </w:t>
      </w:r>
      <w:r>
        <w:rPr>
          <w:rFonts w:ascii="仿宋_GB2312" w:hAnsi="仿宋_GB2312" w:eastAsia="仿宋_GB2312"/>
          <w:i w:val="0"/>
          <w:color w:val="333333"/>
          <w:spacing w:val="0"/>
          <w:sz w:val="32"/>
          <w:szCs w:val="32"/>
          <w:lang w:val="en-US" w:eastAsia="zh-CN"/>
        </w:rPr>
        <w:t>节能审查机关应在法律规定的时限内出具节能审查意见或明确节能审查不予通过。节能审查意见自印发之日起2年内有效，逾期未开工建设或建成时间超过节能报告中预计建成时间2年以上的项目应重新进行节能审查。</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40" w:firstLineChars="200"/>
        <w:rPr>
          <w:rFonts w:ascii="仿宋_GB2312" w:hAnsi="仿宋_GB2312" w:eastAsia="仿宋_GB2312"/>
          <w:i w:val="0"/>
          <w:color w:val="333333"/>
          <w:spacing w:val="0"/>
          <w:sz w:val="32"/>
          <w:szCs w:val="32"/>
          <w:lang w:val="en-US" w:eastAsia="zh-CN"/>
        </w:rPr>
      </w:pPr>
      <w:r>
        <w:rPr>
          <w:rFonts w:ascii="仿宋_GB2312" w:hAnsi="仿宋_GB2312" w:eastAsia="仿宋_GB2312"/>
          <w:i w:val="0"/>
          <w:color w:val="333333"/>
          <w:spacing w:val="0"/>
          <w:sz w:val="32"/>
          <w:szCs w:val="32"/>
          <w:lang w:val="en-US" w:eastAsia="zh-CN"/>
        </w:rPr>
        <w:t>第十</w:t>
      </w:r>
      <w:r>
        <w:rPr>
          <w:rFonts w:hint="eastAsia" w:ascii="仿宋_GB2312" w:hAnsi="仿宋_GB2312" w:eastAsia="仿宋_GB2312"/>
          <w:i w:val="0"/>
          <w:color w:val="333333"/>
          <w:spacing w:val="0"/>
          <w:sz w:val="32"/>
          <w:szCs w:val="32"/>
          <w:lang w:val="en-US" w:eastAsia="zh-CN"/>
        </w:rPr>
        <w:t>二</w:t>
      </w:r>
      <w:r>
        <w:rPr>
          <w:rFonts w:ascii="仿宋_GB2312" w:hAnsi="仿宋_GB2312" w:eastAsia="仿宋_GB2312"/>
          <w:i w:val="0"/>
          <w:color w:val="333333"/>
          <w:spacing w:val="0"/>
          <w:sz w:val="32"/>
          <w:szCs w:val="32"/>
          <w:lang w:val="en-US" w:eastAsia="zh-CN"/>
        </w:rPr>
        <w:t>条</w:t>
      </w:r>
      <w:r>
        <w:rPr>
          <w:rFonts w:hint="eastAsia" w:ascii="仿宋_GB2312" w:hAnsi="仿宋_GB2312" w:eastAsia="仿宋_GB2312"/>
          <w:i w:val="0"/>
          <w:color w:val="333333"/>
          <w:spacing w:val="0"/>
          <w:sz w:val="32"/>
          <w:szCs w:val="32"/>
          <w:lang w:val="en-US" w:eastAsia="zh-CN"/>
        </w:rPr>
        <w:t xml:space="preserve">  </w:t>
      </w:r>
      <w:r>
        <w:rPr>
          <w:rFonts w:ascii="仿宋_GB2312" w:hAnsi="仿宋_GB2312" w:eastAsia="仿宋_GB2312"/>
          <w:i w:val="0"/>
          <w:color w:val="333333"/>
          <w:spacing w:val="0"/>
          <w:sz w:val="32"/>
          <w:szCs w:val="32"/>
          <w:lang w:val="en-US" w:eastAsia="zh-CN"/>
        </w:rPr>
        <w:t>通过节能审查的固定资产投资项目，建设地点、建设内容、建设规模、能效水平等发生重大变动的，或年实际综合能源消费量超过节能审查批复水平10%及以上的，建设单位应向原节能审查机关提交变更申请。原节能审查机关依据实际情况，提出同意变更的意见或重新进行节能审查；项目节能审查权限发生变化的，应及时移交有权审查机关办理。</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40" w:firstLineChars="200"/>
        <w:rPr>
          <w:rFonts w:ascii="仿宋_GB2312" w:hAnsi="仿宋_GB2312" w:eastAsia="仿宋_GB2312"/>
          <w:i w:val="0"/>
          <w:color w:val="333333"/>
          <w:spacing w:val="0"/>
          <w:sz w:val="32"/>
          <w:szCs w:val="32"/>
          <w:lang w:val="en-US" w:eastAsia="zh-CN"/>
        </w:rPr>
      </w:pPr>
      <w:r>
        <w:rPr>
          <w:rFonts w:ascii="仿宋_GB2312" w:hAnsi="仿宋_GB2312" w:eastAsia="仿宋_GB2312"/>
          <w:i w:val="0"/>
          <w:color w:val="333333"/>
          <w:spacing w:val="0"/>
          <w:sz w:val="32"/>
          <w:szCs w:val="32"/>
          <w:lang w:val="en-US" w:eastAsia="zh-CN"/>
        </w:rPr>
        <w:t>第十</w:t>
      </w:r>
      <w:r>
        <w:rPr>
          <w:rFonts w:hint="eastAsia" w:ascii="仿宋_GB2312" w:hAnsi="仿宋_GB2312" w:eastAsia="仿宋_GB2312"/>
          <w:i w:val="0"/>
          <w:color w:val="333333"/>
          <w:spacing w:val="0"/>
          <w:sz w:val="32"/>
          <w:szCs w:val="32"/>
          <w:lang w:val="en-US" w:eastAsia="zh-CN"/>
        </w:rPr>
        <w:t>三</w:t>
      </w:r>
      <w:r>
        <w:rPr>
          <w:rFonts w:ascii="仿宋_GB2312" w:hAnsi="仿宋_GB2312" w:eastAsia="仿宋_GB2312"/>
          <w:i w:val="0"/>
          <w:color w:val="333333"/>
          <w:spacing w:val="0"/>
          <w:sz w:val="32"/>
          <w:szCs w:val="32"/>
          <w:lang w:val="en-US" w:eastAsia="zh-CN"/>
        </w:rPr>
        <w:t>条</w:t>
      </w:r>
      <w:r>
        <w:rPr>
          <w:rFonts w:hint="eastAsia" w:ascii="仿宋_GB2312" w:hAnsi="仿宋_GB2312" w:eastAsia="仿宋_GB2312"/>
          <w:i w:val="0"/>
          <w:color w:val="333333"/>
          <w:spacing w:val="0"/>
          <w:sz w:val="32"/>
          <w:szCs w:val="32"/>
          <w:lang w:val="en-US" w:eastAsia="zh-CN"/>
        </w:rPr>
        <w:t xml:space="preserve">  </w:t>
      </w:r>
      <w:r>
        <w:rPr>
          <w:rFonts w:ascii="仿宋_GB2312" w:hAnsi="仿宋_GB2312" w:eastAsia="仿宋_GB2312"/>
          <w:i w:val="0"/>
          <w:color w:val="333333"/>
          <w:spacing w:val="0"/>
          <w:sz w:val="32"/>
          <w:szCs w:val="32"/>
          <w:lang w:val="en-US" w:eastAsia="zh-CN"/>
        </w:rPr>
        <w:t>能源领域固定资产投资项目投入生产、使用前，建设单位应组织专家对节能报告中生产工艺、用能设备、节能技术采用情况以及节能审查意见落实情况进行验收并编制节能验收报告，建设单位原则上应从省级能源领域专家库内</w:t>
      </w:r>
      <w:commentRangeStart w:id="1"/>
      <w:r>
        <w:rPr>
          <w:rFonts w:ascii="仿宋_GB2312" w:hAnsi="仿宋_GB2312" w:eastAsia="仿宋_GB2312"/>
          <w:i w:val="0"/>
          <w:color w:val="333333"/>
          <w:spacing w:val="0"/>
          <w:sz w:val="32"/>
          <w:szCs w:val="32"/>
          <w:lang w:val="en-US" w:eastAsia="zh-CN"/>
        </w:rPr>
        <w:t>随机抽取相应专业专家开展节能验收，</w:t>
      </w:r>
      <w:commentRangeEnd w:id="1"/>
      <w:r>
        <w:commentReference w:id="1"/>
      </w:r>
      <w:r>
        <w:rPr>
          <w:rFonts w:hint="eastAsia" w:ascii="仿宋_GB2312" w:hAnsi="仿宋_GB2312" w:eastAsia="仿宋_GB2312"/>
          <w:i w:val="0"/>
          <w:color w:val="333333"/>
          <w:spacing w:val="0"/>
          <w:sz w:val="32"/>
          <w:szCs w:val="32"/>
          <w:lang w:val="en-US" w:eastAsia="zh-CN"/>
        </w:rPr>
        <w:t>专家人数不低于三人。</w:t>
      </w:r>
      <w:r>
        <w:rPr>
          <w:rFonts w:ascii="仿宋_GB2312" w:hAnsi="仿宋_GB2312" w:eastAsia="仿宋_GB2312"/>
          <w:i w:val="0"/>
          <w:color w:val="333333"/>
          <w:spacing w:val="0"/>
          <w:sz w:val="32"/>
          <w:szCs w:val="32"/>
          <w:lang w:val="en-US" w:eastAsia="zh-CN"/>
        </w:rPr>
        <w:t>节能验收报告应报县、市、省三级能源行业管理部门同步备案。未经节能验收或验收不合格的项目，不得投入生产、使用。</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40" w:firstLineChars="200"/>
        <w:jc w:val="center"/>
        <w:rPr>
          <w:rFonts w:hint="eastAsia" w:ascii="黑体" w:hAnsi="黑体" w:eastAsia="黑体"/>
          <w:i w:val="0"/>
          <w:color w:val="333333"/>
          <w:spacing w:val="0"/>
          <w:sz w:val="32"/>
          <w:szCs w:val="32"/>
          <w:lang w:val="en-US" w:eastAsia="zh-CN"/>
        </w:rPr>
      </w:pPr>
      <w:r>
        <w:rPr>
          <w:rFonts w:hint="eastAsia" w:ascii="黑体" w:hAnsi="黑体" w:eastAsia="黑体"/>
          <w:i w:val="0"/>
          <w:color w:val="333333"/>
          <w:spacing w:val="0"/>
          <w:sz w:val="32"/>
          <w:szCs w:val="32"/>
          <w:lang w:val="en-US" w:eastAsia="zh-CN"/>
        </w:rPr>
        <w:t>第四章  监督管理</w:t>
      </w:r>
    </w:p>
    <w:p>
      <w:pPr>
        <w:pStyle w:val="1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right="0" w:rightChars="0" w:firstLine="640" w:firstLineChars="200"/>
        <w:rPr>
          <w:rFonts w:hint="eastAsia" w:ascii="仿宋_GB2312" w:hAnsi="仿宋_GB2312" w:eastAsia="仿宋_GB2312"/>
          <w:i w:val="0"/>
          <w:color w:val="333333"/>
          <w:spacing w:val="0"/>
          <w:sz w:val="32"/>
          <w:szCs w:val="32"/>
          <w:lang w:val="en-US" w:eastAsia="zh-CN"/>
        </w:rPr>
      </w:pPr>
      <w:r>
        <w:rPr>
          <w:rFonts w:hint="eastAsia" w:ascii="仿宋_GB2312" w:hAnsi="仿宋_GB2312" w:eastAsia="仿宋_GB2312"/>
          <w:i w:val="0"/>
          <w:color w:val="333333"/>
          <w:spacing w:val="0"/>
          <w:sz w:val="32"/>
          <w:szCs w:val="32"/>
          <w:lang w:val="en-US" w:eastAsia="zh-CN"/>
        </w:rPr>
        <w:t>第十四条  各级能源行业管理部门要结合本单位的职责职能，强化节能审查事中、事后监督管理，总体指导和统筹协调节能审查工作，落实能源消耗总量和强度调控，加强管理能耗强度降低约束性指标，组织对辖区内能源领域固定资产投资项目审查意见落实、节能验收等情况进行监督检查。</w:t>
      </w:r>
      <w:r>
        <w:rPr>
          <w:rFonts w:ascii="仿宋_GB2312" w:hAnsi="仿宋_GB2312" w:eastAsia="仿宋_GB2312"/>
          <w:i w:val="0"/>
          <w:color w:val="333333"/>
          <w:spacing w:val="0"/>
          <w:sz w:val="32"/>
          <w:szCs w:val="32"/>
          <w:lang w:val="en-US" w:eastAsia="zh-CN"/>
        </w:rPr>
        <w:t>日常监督检查工作应按照“双随机一公开”原则开展。</w:t>
      </w:r>
    </w:p>
    <w:p>
      <w:pPr>
        <w:pStyle w:val="15"/>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40" w:firstLineChars="200"/>
        <w:rPr>
          <w:rFonts w:hint="eastAsia" w:ascii="仿宋_GB2312" w:hAnsi="仿宋_GB2312" w:eastAsia="仿宋_GB2312"/>
          <w:i w:val="0"/>
          <w:color w:val="333333"/>
          <w:spacing w:val="0"/>
          <w:sz w:val="32"/>
          <w:szCs w:val="32"/>
          <w:lang w:val="en-US" w:eastAsia="zh-CN"/>
        </w:rPr>
      </w:pPr>
      <w:r>
        <w:rPr>
          <w:rFonts w:hint="eastAsia" w:ascii="仿宋_GB2312" w:hAnsi="仿宋_GB2312" w:eastAsia="仿宋_GB2312"/>
          <w:i w:val="0"/>
          <w:color w:val="333333"/>
          <w:spacing w:val="0"/>
          <w:sz w:val="32"/>
          <w:szCs w:val="32"/>
          <w:lang w:val="en-US" w:eastAsia="zh-CN"/>
        </w:rPr>
        <w:t xml:space="preserve"> 市（州）能源领域节能审查机关应定期向省能源局</w:t>
      </w:r>
      <w:r>
        <w:rPr>
          <w:rFonts w:ascii="仿宋_GB2312" w:hAnsi="仿宋_GB2312" w:eastAsia="仿宋_GB2312"/>
          <w:i w:val="0"/>
          <w:color w:val="333333"/>
          <w:spacing w:val="0"/>
          <w:sz w:val="32"/>
          <w:szCs w:val="32"/>
          <w:lang w:val="en-US" w:eastAsia="zh-CN"/>
        </w:rPr>
        <w:t>报送本地区节能审查实施情况，按要求报送项目节能审查信息和已投产项目调度数据。</w:t>
      </w:r>
    </w:p>
    <w:p>
      <w:pPr>
        <w:pStyle w:val="15"/>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40" w:firstLineChars="200"/>
        <w:rPr>
          <w:rFonts w:hint="eastAsia" w:ascii="仿宋_GB2312" w:hAnsi="仿宋_GB2312" w:eastAsia="仿宋_GB2312"/>
          <w:i w:val="0"/>
          <w:color w:val="333333"/>
          <w:spacing w:val="0"/>
          <w:sz w:val="32"/>
          <w:szCs w:val="32"/>
          <w:lang w:val="en-US" w:eastAsia="zh-CN"/>
        </w:rPr>
      </w:pPr>
      <w:r>
        <w:rPr>
          <w:rFonts w:hint="eastAsia" w:ascii="仿宋_GB2312" w:hAnsi="仿宋_GB2312" w:eastAsia="仿宋_GB2312"/>
          <w:i w:val="0"/>
          <w:color w:val="333333"/>
          <w:spacing w:val="0"/>
          <w:sz w:val="32"/>
          <w:szCs w:val="32"/>
          <w:lang w:val="en-US" w:eastAsia="zh-CN"/>
        </w:rPr>
        <w:t xml:space="preserve"> 省能源局对全省能源行业开展</w:t>
      </w:r>
      <w:r>
        <w:rPr>
          <w:rFonts w:ascii="仿宋_GB2312" w:hAnsi="仿宋_GB2312" w:eastAsia="仿宋_GB2312"/>
          <w:i w:val="0"/>
          <w:color w:val="333333"/>
          <w:spacing w:val="0"/>
          <w:sz w:val="32"/>
          <w:szCs w:val="32"/>
          <w:lang w:val="en-US" w:eastAsia="zh-CN"/>
        </w:rPr>
        <w:t>节能审查</w:t>
      </w:r>
      <w:r>
        <w:rPr>
          <w:rFonts w:hint="eastAsia" w:ascii="仿宋_GB2312" w:hAnsi="仿宋_GB2312" w:eastAsia="仿宋_GB2312"/>
          <w:i w:val="0"/>
          <w:color w:val="333333"/>
          <w:spacing w:val="0"/>
          <w:sz w:val="32"/>
          <w:szCs w:val="32"/>
          <w:lang w:val="en-US" w:eastAsia="zh-CN"/>
        </w:rPr>
        <w:t>情况实行</w:t>
      </w:r>
      <w:r>
        <w:rPr>
          <w:rFonts w:ascii="仿宋_GB2312" w:hAnsi="仿宋_GB2312" w:eastAsia="仿宋_GB2312"/>
          <w:i w:val="0"/>
          <w:color w:val="333333"/>
          <w:spacing w:val="0"/>
          <w:sz w:val="32"/>
          <w:szCs w:val="32"/>
          <w:lang w:val="en-US" w:eastAsia="zh-CN"/>
        </w:rPr>
        <w:t>动态监管</w:t>
      </w:r>
      <w:r>
        <w:rPr>
          <w:rFonts w:hint="eastAsia" w:ascii="仿宋_GB2312" w:hAnsi="仿宋_GB2312" w:eastAsia="仿宋_GB2312"/>
          <w:i w:val="0"/>
          <w:color w:val="333333"/>
          <w:spacing w:val="0"/>
          <w:sz w:val="32"/>
          <w:szCs w:val="32"/>
          <w:lang w:val="en-US" w:eastAsia="zh-CN"/>
        </w:rPr>
        <w:t>和</w:t>
      </w:r>
      <w:r>
        <w:rPr>
          <w:rFonts w:ascii="仿宋_GB2312" w:hAnsi="仿宋_GB2312" w:eastAsia="仿宋_GB2312"/>
          <w:i w:val="0"/>
          <w:color w:val="333333"/>
          <w:spacing w:val="0"/>
          <w:sz w:val="32"/>
          <w:szCs w:val="32"/>
          <w:lang w:val="en-US" w:eastAsia="zh-CN"/>
        </w:rPr>
        <w:t>监督检查，对</w:t>
      </w:r>
      <w:r>
        <w:rPr>
          <w:rFonts w:hint="eastAsia" w:ascii="仿宋_GB2312" w:hAnsi="仿宋_GB2312" w:eastAsia="仿宋_GB2312"/>
          <w:i w:val="0"/>
          <w:color w:val="333333"/>
          <w:spacing w:val="0"/>
          <w:sz w:val="32"/>
          <w:szCs w:val="32"/>
          <w:lang w:val="en-US" w:eastAsia="zh-CN"/>
        </w:rPr>
        <w:t>当年实施验收备案的项目进</w:t>
      </w:r>
      <w:r>
        <w:rPr>
          <w:rFonts w:ascii="仿宋_GB2312" w:hAnsi="仿宋_GB2312" w:eastAsia="仿宋_GB2312"/>
          <w:i w:val="0"/>
          <w:color w:val="333333"/>
          <w:spacing w:val="0"/>
          <w:sz w:val="32"/>
          <w:szCs w:val="32"/>
          <w:lang w:val="en-US" w:eastAsia="zh-CN"/>
        </w:rPr>
        <w:t>行不定期抽查</w:t>
      </w:r>
      <w:r>
        <w:rPr>
          <w:rFonts w:hint="eastAsia" w:ascii="仿宋_GB2312" w:hAnsi="仿宋_GB2312" w:eastAsia="仿宋_GB2312"/>
          <w:i w:val="0"/>
          <w:color w:val="333333"/>
          <w:spacing w:val="0"/>
          <w:sz w:val="32"/>
          <w:szCs w:val="32"/>
          <w:lang w:val="en-US" w:eastAsia="zh-CN"/>
        </w:rPr>
        <w:t>，抽查比例不低于10%。市（州）级能源领域节能审查机关对</w:t>
      </w:r>
      <w:r>
        <w:rPr>
          <w:rFonts w:ascii="仿宋_GB2312" w:hAnsi="仿宋_GB2312" w:eastAsia="仿宋_GB2312"/>
          <w:i w:val="0"/>
          <w:color w:val="333333"/>
          <w:spacing w:val="0"/>
          <w:sz w:val="32"/>
          <w:szCs w:val="32"/>
          <w:lang w:val="en-US" w:eastAsia="zh-CN"/>
        </w:rPr>
        <w:t>本地区</w:t>
      </w:r>
      <w:r>
        <w:rPr>
          <w:rFonts w:hint="eastAsia" w:ascii="仿宋_GB2312" w:hAnsi="仿宋_GB2312" w:eastAsia="仿宋_GB2312"/>
          <w:i w:val="0"/>
          <w:color w:val="333333"/>
          <w:spacing w:val="0"/>
          <w:sz w:val="32"/>
          <w:szCs w:val="32"/>
          <w:lang w:val="en-US" w:eastAsia="zh-CN"/>
        </w:rPr>
        <w:t>当年实施验收备案的项目</w:t>
      </w:r>
      <w:r>
        <w:rPr>
          <w:rFonts w:ascii="仿宋_GB2312" w:hAnsi="仿宋_GB2312" w:eastAsia="仿宋_GB2312"/>
          <w:i w:val="0"/>
          <w:color w:val="333333"/>
          <w:spacing w:val="0"/>
          <w:sz w:val="32"/>
          <w:szCs w:val="32"/>
          <w:lang w:val="en-US" w:eastAsia="zh-CN"/>
        </w:rPr>
        <w:t>进行不定期抽查</w:t>
      </w:r>
      <w:r>
        <w:rPr>
          <w:rFonts w:hint="eastAsia" w:ascii="仿宋_GB2312" w:hAnsi="仿宋_GB2312" w:eastAsia="仿宋_GB2312"/>
          <w:i w:val="0"/>
          <w:color w:val="333333"/>
          <w:spacing w:val="0"/>
          <w:sz w:val="32"/>
          <w:szCs w:val="32"/>
          <w:lang w:val="en-US" w:eastAsia="zh-CN"/>
        </w:rPr>
        <w:t>，抽查比例不低于20%</w:t>
      </w:r>
      <w:r>
        <w:rPr>
          <w:rFonts w:ascii="仿宋_GB2312" w:hAnsi="仿宋_GB2312" w:eastAsia="仿宋_GB2312"/>
          <w:i w:val="0"/>
          <w:color w:val="333333"/>
          <w:spacing w:val="0"/>
          <w:sz w:val="32"/>
          <w:szCs w:val="32"/>
          <w:lang w:val="en-US" w:eastAsia="zh-CN"/>
        </w:rPr>
        <w:t>。</w:t>
      </w:r>
      <w:r>
        <w:rPr>
          <w:rFonts w:hint="eastAsia" w:ascii="仿宋_GB2312" w:hAnsi="仿宋_GB2312" w:eastAsia="仿宋_GB2312"/>
          <w:i w:val="0"/>
          <w:color w:val="333333"/>
          <w:spacing w:val="0"/>
          <w:sz w:val="32"/>
          <w:szCs w:val="32"/>
          <w:lang w:val="en-US" w:eastAsia="zh-CN"/>
        </w:rPr>
        <w:t>县（市、区、特区）级能源领域节能管理部门对</w:t>
      </w:r>
      <w:r>
        <w:rPr>
          <w:rFonts w:ascii="仿宋_GB2312" w:hAnsi="仿宋_GB2312" w:eastAsia="仿宋_GB2312"/>
          <w:i w:val="0"/>
          <w:color w:val="333333"/>
          <w:spacing w:val="0"/>
          <w:sz w:val="32"/>
          <w:szCs w:val="32"/>
          <w:lang w:val="en-US" w:eastAsia="zh-CN"/>
        </w:rPr>
        <w:t>本地区</w:t>
      </w:r>
      <w:r>
        <w:rPr>
          <w:rFonts w:hint="eastAsia" w:ascii="仿宋_GB2312" w:hAnsi="仿宋_GB2312" w:eastAsia="仿宋_GB2312"/>
          <w:i w:val="0"/>
          <w:color w:val="333333"/>
          <w:spacing w:val="0"/>
          <w:sz w:val="32"/>
          <w:szCs w:val="32"/>
          <w:lang w:val="en-US" w:eastAsia="zh-CN"/>
        </w:rPr>
        <w:t>当年实施验收备案的项目</w:t>
      </w:r>
      <w:r>
        <w:rPr>
          <w:rFonts w:ascii="仿宋_GB2312" w:hAnsi="仿宋_GB2312" w:eastAsia="仿宋_GB2312"/>
          <w:i w:val="0"/>
          <w:color w:val="333333"/>
          <w:spacing w:val="0"/>
          <w:sz w:val="32"/>
          <w:szCs w:val="32"/>
          <w:lang w:val="en-US" w:eastAsia="zh-CN"/>
        </w:rPr>
        <w:t>进行</w:t>
      </w:r>
      <w:r>
        <w:rPr>
          <w:rFonts w:hint="eastAsia" w:ascii="仿宋_GB2312" w:hAnsi="仿宋_GB2312" w:eastAsia="仿宋_GB2312"/>
          <w:i w:val="0"/>
          <w:color w:val="333333"/>
          <w:spacing w:val="0"/>
          <w:sz w:val="32"/>
          <w:szCs w:val="32"/>
          <w:lang w:val="en-US" w:eastAsia="zh-CN"/>
        </w:rPr>
        <w:t>全覆盖检查。</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40" w:firstLineChars="200"/>
        <w:jc w:val="center"/>
        <w:rPr>
          <w:rFonts w:ascii="黑体" w:hAnsi="黑体" w:eastAsia="黑体"/>
          <w:i w:val="0"/>
          <w:color w:val="333333"/>
          <w:spacing w:val="0"/>
          <w:sz w:val="32"/>
          <w:szCs w:val="32"/>
          <w:lang w:val="en-US" w:eastAsia="zh-CN"/>
        </w:rPr>
      </w:pPr>
      <w:commentRangeStart w:id="2"/>
      <w:r>
        <w:rPr>
          <w:rFonts w:ascii="黑体" w:hAnsi="黑体" w:eastAsia="黑体"/>
          <w:i w:val="0"/>
          <w:color w:val="333333"/>
          <w:spacing w:val="0"/>
          <w:sz w:val="32"/>
          <w:szCs w:val="32"/>
          <w:lang w:val="en-US" w:eastAsia="zh-CN"/>
        </w:rPr>
        <w:t>第</w:t>
      </w:r>
      <w:r>
        <w:rPr>
          <w:rFonts w:hint="eastAsia" w:ascii="黑体" w:hAnsi="黑体" w:eastAsia="黑体"/>
          <w:i w:val="0"/>
          <w:color w:val="333333"/>
          <w:spacing w:val="0"/>
          <w:sz w:val="32"/>
          <w:szCs w:val="32"/>
          <w:lang w:val="en-US" w:eastAsia="zh-CN"/>
        </w:rPr>
        <w:t>五</w:t>
      </w:r>
      <w:r>
        <w:rPr>
          <w:rFonts w:ascii="黑体" w:hAnsi="黑体" w:eastAsia="黑体"/>
          <w:i w:val="0"/>
          <w:color w:val="333333"/>
          <w:spacing w:val="0"/>
          <w:sz w:val="32"/>
          <w:szCs w:val="32"/>
          <w:lang w:val="en-US" w:eastAsia="zh-CN"/>
        </w:rPr>
        <w:t>章</w:t>
      </w:r>
      <w:r>
        <w:rPr>
          <w:rFonts w:hint="eastAsia" w:ascii="黑体" w:hAnsi="黑体" w:eastAsia="黑体"/>
          <w:i w:val="0"/>
          <w:color w:val="333333"/>
          <w:spacing w:val="0"/>
          <w:sz w:val="32"/>
          <w:szCs w:val="32"/>
          <w:lang w:val="en-US" w:eastAsia="zh-CN"/>
        </w:rPr>
        <w:t xml:space="preserve">  法律责任</w:t>
      </w:r>
    </w:p>
    <w:p>
      <w:pPr>
        <w:pStyle w:val="15"/>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40" w:firstLineChars="200"/>
        <w:rPr>
          <w:rFonts w:hint="eastAsia" w:ascii="仿宋_GB2312" w:hAnsi="仿宋_GB2312" w:eastAsia="仿宋_GB2312"/>
          <w:i w:val="0"/>
          <w:color w:val="333333"/>
          <w:spacing w:val="0"/>
          <w:sz w:val="32"/>
          <w:szCs w:val="32"/>
          <w:lang w:val="en-US" w:eastAsia="zh-CN"/>
        </w:rPr>
      </w:pPr>
      <w:r>
        <w:rPr>
          <w:rFonts w:hint="eastAsia" w:ascii="仿宋_GB2312" w:hAnsi="仿宋_GB2312" w:eastAsia="仿宋_GB2312"/>
          <w:i w:val="0"/>
          <w:color w:val="333333"/>
          <w:spacing w:val="0"/>
          <w:sz w:val="32"/>
          <w:szCs w:val="32"/>
          <w:lang w:val="en-US" w:eastAsia="zh-CN"/>
        </w:rPr>
        <w:t xml:space="preserve"> 能源领域各级管理节能工作的部门，对违反节能管理规定的项目及对象，按照</w:t>
      </w:r>
      <w:r>
        <w:rPr>
          <w:rFonts w:hint="eastAsia" w:ascii="仿宋_GB2312" w:hAnsi="仿宋_GB2312" w:eastAsia="仿宋_GB2312"/>
          <w:i w:val="0"/>
          <w:color w:val="333333"/>
          <w:spacing w:val="0"/>
          <w:sz w:val="32"/>
          <w:szCs w:val="32"/>
        </w:rPr>
        <w:t>《中华人民共和国节约能源法》《固定资产投资项目节能审查办法》(国家发展改革委2023年第2号令)和《贵州省节约能源条例》</w:t>
      </w:r>
      <w:r>
        <w:rPr>
          <w:rFonts w:hint="eastAsia" w:ascii="仿宋_GB2312" w:hAnsi="仿宋_GB2312" w:eastAsia="仿宋_GB2312"/>
          <w:i w:val="0"/>
          <w:color w:val="333333"/>
          <w:spacing w:val="0"/>
          <w:sz w:val="32"/>
          <w:szCs w:val="32"/>
          <w:lang w:eastAsia="zh-CN"/>
        </w:rPr>
        <w:t>实施行政处罚，</w:t>
      </w:r>
      <w:r>
        <w:rPr>
          <w:rFonts w:hint="eastAsia" w:ascii="仿宋_GB2312" w:hAnsi="仿宋_GB2312" w:eastAsia="仿宋_GB2312"/>
          <w:i w:val="0"/>
          <w:color w:val="333333"/>
          <w:spacing w:val="0"/>
          <w:sz w:val="32"/>
          <w:szCs w:val="32"/>
          <w:lang w:val="en-US" w:eastAsia="zh-CN"/>
        </w:rPr>
        <w:t>市（州）、县（市、区、特区）能源领域节能管理部门实施的重大行政处罚决定要报省能源局备案。</w:t>
      </w:r>
    </w:p>
    <w:commentRangeEnd w:id="2"/>
    <w:p>
      <w:pPr>
        <w:pStyle w:val="1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0" w:firstLineChars="0"/>
        <w:jc w:val="center"/>
        <w:rPr>
          <w:rFonts w:hint="eastAsia" w:ascii="黑体" w:hAnsi="黑体" w:eastAsia="黑体"/>
          <w:i w:val="0"/>
          <w:color w:val="333333"/>
          <w:spacing w:val="0"/>
          <w:sz w:val="32"/>
          <w:szCs w:val="32"/>
          <w:lang w:val="en-US" w:eastAsia="zh-CN"/>
        </w:rPr>
      </w:pPr>
      <w:r>
        <w:commentReference w:id="2"/>
      </w:r>
      <w:r>
        <w:rPr>
          <w:rFonts w:hint="eastAsia" w:ascii="黑体" w:hAnsi="黑体" w:eastAsia="黑体"/>
          <w:i w:val="0"/>
          <w:color w:val="333333"/>
          <w:spacing w:val="0"/>
          <w:sz w:val="32"/>
          <w:szCs w:val="32"/>
          <w:lang w:val="en-US" w:eastAsia="zh-CN"/>
        </w:rPr>
        <w:t>第六章  附则</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40" w:firstLineChars="200"/>
        <w:rPr>
          <w:rFonts w:ascii="仿宋_GB2312" w:hAnsi="仿宋_GB2312" w:eastAsia="仿宋_GB2312"/>
          <w:i w:val="0"/>
          <w:color w:val="333333"/>
          <w:spacing w:val="0"/>
          <w:sz w:val="32"/>
          <w:szCs w:val="32"/>
          <w:lang w:val="en-US" w:eastAsia="zh-CN"/>
        </w:rPr>
      </w:pPr>
      <w:r>
        <w:rPr>
          <w:rFonts w:ascii="仿宋_GB2312" w:hAnsi="仿宋_GB2312" w:eastAsia="仿宋_GB2312"/>
          <w:i w:val="0"/>
          <w:color w:val="333333"/>
          <w:spacing w:val="0"/>
          <w:sz w:val="32"/>
          <w:szCs w:val="32"/>
          <w:lang w:val="en-US" w:eastAsia="zh-CN"/>
        </w:rPr>
        <w:t>第</w:t>
      </w:r>
      <w:r>
        <w:rPr>
          <w:rFonts w:hint="eastAsia" w:ascii="仿宋_GB2312" w:hAnsi="仿宋_GB2312" w:eastAsia="仿宋_GB2312"/>
          <w:i w:val="0"/>
          <w:color w:val="333333"/>
          <w:spacing w:val="0"/>
          <w:sz w:val="32"/>
          <w:szCs w:val="32"/>
          <w:lang w:val="en-US" w:eastAsia="zh-CN"/>
        </w:rPr>
        <w:t>十八</w:t>
      </w:r>
      <w:r>
        <w:rPr>
          <w:rFonts w:ascii="仿宋_GB2312" w:hAnsi="仿宋_GB2312" w:eastAsia="仿宋_GB2312"/>
          <w:i w:val="0"/>
          <w:color w:val="333333"/>
          <w:spacing w:val="0"/>
          <w:sz w:val="32"/>
          <w:szCs w:val="32"/>
          <w:lang w:val="en-US" w:eastAsia="zh-CN"/>
        </w:rPr>
        <w:t>条</w:t>
      </w:r>
      <w:r>
        <w:rPr>
          <w:rFonts w:hint="eastAsia" w:ascii="仿宋_GB2312" w:hAnsi="仿宋_GB2312" w:eastAsia="仿宋_GB2312"/>
          <w:i w:val="0"/>
          <w:color w:val="333333"/>
          <w:spacing w:val="0"/>
          <w:sz w:val="32"/>
          <w:szCs w:val="32"/>
          <w:lang w:val="en-US" w:eastAsia="zh-CN"/>
        </w:rPr>
        <w:t xml:space="preserve">  </w:t>
      </w:r>
      <w:r>
        <w:rPr>
          <w:rFonts w:ascii="仿宋_GB2312" w:hAnsi="仿宋_GB2312" w:eastAsia="仿宋_GB2312"/>
          <w:i w:val="0"/>
          <w:color w:val="333333"/>
          <w:spacing w:val="0"/>
          <w:sz w:val="32"/>
          <w:szCs w:val="32"/>
          <w:lang w:val="en-US" w:eastAsia="zh-CN"/>
        </w:rPr>
        <w:t>本办法由省</w:t>
      </w:r>
      <w:r>
        <w:rPr>
          <w:rFonts w:hint="eastAsia" w:ascii="仿宋_GB2312" w:hAnsi="仿宋_GB2312" w:eastAsia="仿宋_GB2312"/>
          <w:i w:val="0"/>
          <w:color w:val="333333"/>
          <w:spacing w:val="0"/>
          <w:sz w:val="32"/>
          <w:szCs w:val="32"/>
          <w:lang w:val="en-US" w:eastAsia="zh-CN"/>
        </w:rPr>
        <w:t>能源局</w:t>
      </w:r>
      <w:r>
        <w:rPr>
          <w:rFonts w:ascii="仿宋_GB2312" w:hAnsi="仿宋_GB2312" w:eastAsia="仿宋_GB2312"/>
          <w:i w:val="0"/>
          <w:color w:val="333333"/>
          <w:spacing w:val="0"/>
          <w:sz w:val="32"/>
          <w:szCs w:val="32"/>
          <w:lang w:val="en-US" w:eastAsia="zh-CN"/>
        </w:rPr>
        <w:t>负责解释。</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40" w:firstLineChars="200"/>
        <w:rPr>
          <w:rFonts w:ascii="仿宋_GB2312" w:hAnsi="仿宋_GB2312" w:eastAsia="仿宋_GB2312"/>
          <w:i w:val="0"/>
          <w:color w:val="333333"/>
          <w:spacing w:val="0"/>
          <w:sz w:val="32"/>
          <w:szCs w:val="32"/>
          <w:lang w:val="en-US" w:eastAsia="zh-CN"/>
        </w:rPr>
      </w:pPr>
      <w:commentRangeStart w:id="3"/>
      <w:r>
        <w:rPr>
          <w:rFonts w:ascii="仿宋_GB2312" w:hAnsi="仿宋_GB2312" w:eastAsia="仿宋_GB2312"/>
          <w:i w:val="0"/>
          <w:color w:val="333333"/>
          <w:spacing w:val="0"/>
          <w:sz w:val="32"/>
          <w:szCs w:val="32"/>
          <w:lang w:val="en-US" w:eastAsia="zh-CN"/>
        </w:rPr>
        <w:t>第</w:t>
      </w:r>
      <w:r>
        <w:rPr>
          <w:rFonts w:hint="eastAsia" w:ascii="仿宋_GB2312" w:hAnsi="仿宋_GB2312" w:eastAsia="仿宋_GB2312"/>
          <w:i w:val="0"/>
          <w:color w:val="333333"/>
          <w:spacing w:val="0"/>
          <w:sz w:val="32"/>
          <w:szCs w:val="32"/>
          <w:lang w:val="en-US" w:eastAsia="zh-CN"/>
        </w:rPr>
        <w:t>十九</w:t>
      </w:r>
      <w:r>
        <w:rPr>
          <w:rFonts w:ascii="仿宋_GB2312" w:hAnsi="仿宋_GB2312" w:eastAsia="仿宋_GB2312"/>
          <w:i w:val="0"/>
          <w:color w:val="333333"/>
          <w:spacing w:val="0"/>
          <w:sz w:val="32"/>
          <w:szCs w:val="32"/>
          <w:lang w:val="en-US" w:eastAsia="zh-CN"/>
        </w:rPr>
        <w:t>条</w:t>
      </w:r>
      <w:r>
        <w:rPr>
          <w:rFonts w:hint="eastAsia" w:ascii="仿宋_GB2312" w:hAnsi="仿宋_GB2312" w:eastAsia="仿宋_GB2312"/>
          <w:i w:val="0"/>
          <w:color w:val="333333"/>
          <w:spacing w:val="0"/>
          <w:sz w:val="32"/>
          <w:szCs w:val="32"/>
          <w:lang w:val="en-US" w:eastAsia="zh-CN"/>
        </w:rPr>
        <w:t xml:space="preserve">  </w:t>
      </w:r>
      <w:r>
        <w:rPr>
          <w:rFonts w:ascii="仿宋_GB2312" w:hAnsi="仿宋_GB2312" w:eastAsia="仿宋_GB2312"/>
          <w:i w:val="0"/>
          <w:color w:val="333333"/>
          <w:spacing w:val="0"/>
          <w:sz w:val="32"/>
          <w:szCs w:val="32"/>
          <w:lang w:val="en-US" w:eastAsia="zh-CN"/>
        </w:rPr>
        <w:t>本办法自</w:t>
      </w:r>
      <w:r>
        <w:rPr>
          <w:rFonts w:hint="eastAsia" w:ascii="仿宋_GB2312" w:hAnsi="仿宋_GB2312" w:eastAsia="仿宋_GB2312"/>
          <w:i w:val="0"/>
          <w:color w:val="333333"/>
          <w:spacing w:val="0"/>
          <w:sz w:val="32"/>
          <w:szCs w:val="32"/>
          <w:lang w:val="en-US" w:eastAsia="zh-CN"/>
        </w:rPr>
        <w:t>XXXX年X月X日</w:t>
      </w:r>
      <w:r>
        <w:rPr>
          <w:rFonts w:ascii="仿宋_GB2312" w:hAnsi="仿宋_GB2312" w:eastAsia="仿宋_GB2312"/>
          <w:i w:val="0"/>
          <w:color w:val="333333"/>
          <w:spacing w:val="0"/>
          <w:sz w:val="32"/>
          <w:szCs w:val="32"/>
          <w:lang w:val="en-US" w:eastAsia="zh-CN"/>
        </w:rPr>
        <w:t>起施行。</w:t>
      </w:r>
      <w:commentRangeEnd w:id="3"/>
      <w:r>
        <w:commentReference w:id="3"/>
      </w:r>
    </w:p>
    <w:sectPr>
      <w:footerReference r:id="rId5" w:type="default"/>
      <w:pgSz w:w="11906" w:h="16838"/>
      <w:pgMar w:top="2098" w:right="1474" w:bottom="1984" w:left="1587" w:header="720" w:footer="992" w:gutter="0"/>
      <w:pgNumType w:fmt="decimal"/>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中联" w:date="2025-03-26T11:19:52Z" w:initials="y">
    <w:p w14:paraId="2FDCBA5F">
      <w:pPr>
        <w:spacing w:before="0" w:beforeLines="0" w:after="0" w:afterLines="0"/>
        <w:ind w:firstLine="640" w:firstLineChars="200"/>
        <w:rPr>
          <w:rFonts w:hint="eastAsia" w:ascii="仿宋" w:hAnsi="仿宋" w:eastAsia="仿宋" w:cs="仿宋"/>
          <w:i w:val="0"/>
          <w:color w:val="333333"/>
          <w:spacing w:val="0"/>
          <w:sz w:val="32"/>
          <w:szCs w:val="32"/>
        </w:rPr>
      </w:pPr>
      <w:r>
        <w:rPr>
          <w:rFonts w:hint="eastAsia" w:ascii="仿宋" w:hAnsi="仿宋" w:eastAsia="仿宋" w:cs="仿宋"/>
          <w:i w:val="0"/>
          <w:color w:val="333333"/>
          <w:spacing w:val="0"/>
          <w:sz w:val="32"/>
          <w:szCs w:val="32"/>
        </w:rPr>
        <w:t>《固定资产投资项目节能审查办法》</w:t>
      </w:r>
    </w:p>
    <w:p w14:paraId="7BDFC309">
      <w:pPr>
        <w:spacing w:before="0" w:beforeLines="0" w:after="0" w:afterLines="0"/>
        <w:ind w:firstLine="642" w:firstLineChars="200"/>
        <w:rPr>
          <w:rFonts w:hint="eastAsia" w:ascii="仿宋" w:hAnsi="仿宋" w:eastAsia="仿宋" w:cs="仿宋"/>
          <w:b w:val="0"/>
          <w:sz w:val="32"/>
          <w:szCs w:val="32"/>
        </w:rPr>
      </w:pPr>
      <w:r>
        <w:rPr>
          <w:rStyle w:val="21"/>
          <w:rFonts w:hint="eastAsia" w:ascii="仿宋" w:hAnsi="仿宋" w:eastAsia="仿宋" w:cs="仿宋"/>
          <w:sz w:val="32"/>
          <w:szCs w:val="32"/>
        </w:rPr>
        <w:t>第九条</w:t>
      </w:r>
      <w:r>
        <w:rPr>
          <w:rStyle w:val="21"/>
          <w:rFonts w:hint="eastAsia" w:ascii="仿宋" w:hAnsi="仿宋" w:eastAsia="仿宋" w:cs="仿宋"/>
          <w:sz w:val="32"/>
          <w:szCs w:val="32"/>
          <w:lang w:val="en-US" w:eastAsia="zh-CN"/>
        </w:rPr>
        <w:t xml:space="preserve"> </w:t>
      </w:r>
      <w:r>
        <w:rPr>
          <w:rFonts w:hint="eastAsia" w:ascii="仿宋" w:hAnsi="仿宋" w:eastAsia="仿宋" w:cs="仿宋"/>
          <w:sz w:val="32"/>
          <w:szCs w:val="32"/>
        </w:rPr>
        <w:t>国家发展改革委核报国务院审批以及国家发展改革委审批的政府投资项目，建设单位在报送项目可行性研究报告前，需取得省级节能审查机关出具的节能审查意见。国家发展改革委核报国务院核准以及国家发展改革委核准的企业投资项目，建设单位需在开工建设前取得省级节能审查机关出具的节能审查意见。</w:t>
      </w:r>
    </w:p>
    <w:p w14:paraId="F5FF6B34">
      <w:pPr>
        <w:spacing w:before="0" w:beforeLines="0" w:after="0" w:afterLines="0"/>
        <w:ind w:firstLine="640" w:firstLineChars="200"/>
        <w:rPr>
          <w:rFonts w:hint="eastAsia" w:ascii="仿宋" w:hAnsi="仿宋" w:eastAsia="仿宋" w:cs="仿宋"/>
          <w:sz w:val="32"/>
          <w:szCs w:val="32"/>
        </w:rPr>
      </w:pPr>
      <w:r>
        <w:rPr>
          <w:rFonts w:hint="eastAsia" w:ascii="仿宋" w:hAnsi="仿宋" w:eastAsia="仿宋" w:cs="仿宋"/>
          <w:sz w:val="32"/>
          <w:szCs w:val="32"/>
        </w:rPr>
        <w:t>年综合能源消费量（建设地点、主要生产工艺和设备未改变的改建项目按照建成投产后年综合能源消费增量计算，其他项目按照建成投产后年综合能源消费量计算，电力折算系数按当量值，下同）10000吨标准煤及以上的固定资产投资项目，其节能审查由省级节能审查机关负责。其他固定资产投资项目，其节能审查管理权限由省级节能审查机关依据实际情况自行决定。</w:t>
      </w:r>
    </w:p>
    <w:p w14:paraId="77D9F660">
      <w:pPr>
        <w:spacing w:before="0" w:beforeLines="0" w:after="0" w:afterLines="0"/>
        <w:ind w:firstLine="640" w:firstLineChars="200"/>
        <w:rPr>
          <w:rFonts w:hint="eastAsia" w:ascii="仿宋" w:hAnsi="仿宋" w:eastAsia="仿宋" w:cs="仿宋"/>
          <w:sz w:val="32"/>
          <w:szCs w:val="32"/>
        </w:rPr>
      </w:pPr>
      <w:r>
        <w:rPr>
          <w:rFonts w:hint="eastAsia" w:ascii="仿宋" w:hAnsi="仿宋" w:eastAsia="仿宋" w:cs="仿宋"/>
          <w:sz w:val="32"/>
          <w:szCs w:val="32"/>
        </w:rPr>
        <w:t>年综合能源消费量不满1000吨标准煤且年电力消费量不满500万千瓦时的固定资产投资项目，涉及国家秘密的固定资产投资项目以及用能工艺简单、节能潜力小的行业（具体行业目录由国家发展改革委制定公布并适时更新）的固定资产投资项目，可不单独编制节能报告。项目应按照相关节能标准、规范建设，项目可行性研究报告或项目申请报告应对项目能源利用、节能措施和能效水平等进行分析。节能审查机关对项目不再单独进行节能审查，不再出具节能审查意见。</w:t>
      </w:r>
    </w:p>
    <w:p w14:paraId="FB978D7C">
      <w:pPr>
        <w:pStyle w:val="22"/>
        <w:spacing w:before="0" w:after="0" w:line="600" w:lineRule="atLeast"/>
        <w:ind w:left="375" w:right="375"/>
        <w:rPr>
          <w:rStyle w:val="23"/>
          <w:rFonts w:hint="eastAsia" w:ascii="仿宋" w:hAnsi="仿宋" w:eastAsia="仿宋" w:cs="仿宋"/>
          <w:b/>
          <w:bCs/>
          <w:color w:val="000000"/>
          <w:sz w:val="32"/>
          <w:szCs w:val="32"/>
        </w:rPr>
      </w:pPr>
      <w:r>
        <w:rPr>
          <w:rFonts w:hint="eastAsia" w:ascii="仿宋" w:hAnsi="仿宋" w:eastAsia="仿宋" w:cs="仿宋"/>
          <w:sz w:val="32"/>
          <w:szCs w:val="32"/>
        </w:rPr>
        <w:t>单个项目涉及两个及以上省级地区的，其节能审查工作由项目主体工程（或控制性工程）所在省（区、市）省级节能审查机关牵头商其他地区省级节能审查机关研究确定后实施。打捆项目涉及两个及以上省级地区的，其节能审查工作分别由子项目所在省（区、市）相关节能审查机关实施。</w:t>
      </w:r>
    </w:p>
    <w:p w14:paraId="7FDF0254">
      <w:pPr>
        <w:pStyle w:val="22"/>
        <w:spacing w:before="0" w:after="0" w:line="600" w:lineRule="atLeast"/>
        <w:ind w:left="375" w:right="375"/>
        <w:rPr>
          <w:rFonts w:hint="eastAsia" w:ascii="仿宋" w:hAnsi="仿宋" w:eastAsia="仿宋" w:cs="仿宋"/>
          <w:color w:val="000000"/>
          <w:sz w:val="32"/>
          <w:szCs w:val="32"/>
          <w:vertAlign w:val="baseline"/>
          <w:lang w:eastAsia="zh-CN"/>
        </w:rPr>
      </w:pPr>
      <w:r>
        <w:rPr>
          <w:rFonts w:hint="eastAsia" w:ascii="仿宋" w:hAnsi="仿宋" w:eastAsia="仿宋" w:cs="仿宋"/>
          <w:color w:val="000000"/>
          <w:sz w:val="32"/>
          <w:szCs w:val="32"/>
          <w:vertAlign w:val="baseline"/>
          <w:lang w:eastAsia="zh-CN"/>
        </w:rPr>
        <w:t>《</w:t>
      </w:r>
      <w:r>
        <w:rPr>
          <w:rFonts w:hint="eastAsia" w:ascii="仿宋" w:hAnsi="仿宋" w:eastAsia="仿宋" w:cs="仿宋"/>
          <w:color w:val="000000"/>
          <w:sz w:val="32"/>
          <w:szCs w:val="32"/>
          <w:vertAlign w:val="baseline"/>
        </w:rPr>
        <w:t>贵州省固定资产投资项目节能审查实施办法</w:t>
      </w:r>
      <w:r>
        <w:rPr>
          <w:rFonts w:hint="eastAsia" w:ascii="仿宋" w:hAnsi="仿宋" w:eastAsia="仿宋" w:cs="仿宋"/>
          <w:color w:val="000000"/>
          <w:sz w:val="32"/>
          <w:szCs w:val="32"/>
          <w:vertAlign w:val="baseline"/>
          <w:lang w:eastAsia="zh-CN"/>
        </w:rPr>
        <w:t>》</w:t>
      </w:r>
    </w:p>
    <w:p w14:paraId="63EB1F7A">
      <w:pPr>
        <w:pStyle w:val="22"/>
        <w:spacing w:before="0" w:after="0" w:line="600" w:lineRule="atLeast"/>
        <w:ind w:left="375" w:right="375"/>
        <w:rPr>
          <w:rFonts w:hint="eastAsia" w:ascii="仿宋" w:hAnsi="仿宋" w:eastAsia="仿宋" w:cs="仿宋"/>
          <w:color w:val="000000"/>
          <w:sz w:val="32"/>
          <w:szCs w:val="32"/>
        </w:rPr>
      </w:pPr>
      <w:r>
        <w:rPr>
          <w:rStyle w:val="23"/>
          <w:rFonts w:hint="eastAsia" w:ascii="仿宋" w:hAnsi="仿宋" w:eastAsia="仿宋" w:cs="仿宋"/>
          <w:b/>
          <w:bCs/>
          <w:color w:val="000000"/>
          <w:sz w:val="32"/>
          <w:szCs w:val="32"/>
        </w:rPr>
        <w:t>第八条</w:t>
      </w:r>
      <w:r>
        <w:rPr>
          <w:rStyle w:val="23"/>
          <w:rFonts w:hint="eastAsia" w:ascii="仿宋" w:hAnsi="仿宋" w:eastAsia="仿宋" w:cs="仿宋"/>
          <w:b/>
          <w:bCs/>
          <w:color w:val="000000"/>
          <w:sz w:val="32"/>
          <w:szCs w:val="32"/>
          <w:lang w:val="en-US" w:eastAsia="zh-CN"/>
        </w:rPr>
        <w:t xml:space="preserve"> </w:t>
      </w:r>
      <w:r>
        <w:rPr>
          <w:rFonts w:hint="eastAsia" w:ascii="仿宋" w:hAnsi="仿宋" w:eastAsia="仿宋" w:cs="仿宋"/>
          <w:color w:val="000000"/>
          <w:sz w:val="32"/>
          <w:szCs w:val="32"/>
          <w:vertAlign w:val="baseline"/>
        </w:rPr>
        <w:t>国家发展改革委核报国务院审批以及国家发展改革委审批的政府投资项目，建设单位在报送项目可行性研究报告前，需取得省发展改革委出具的节能审查意见。国家发展改革委核报国务院核准以及国家发展改革委核准的企业投资项目，建设单位需在开工建设前取得省发展改革委出具的节能审查意见。</w:t>
      </w:r>
    </w:p>
    <w:p w14:paraId="3EFA3BE5">
      <w:pPr>
        <w:pStyle w:val="22"/>
        <w:spacing w:before="0" w:after="0" w:line="600" w:lineRule="atLeast"/>
        <w:ind w:left="375" w:right="375"/>
        <w:rPr>
          <w:rFonts w:hint="eastAsia" w:ascii="仿宋" w:hAnsi="仿宋" w:eastAsia="仿宋" w:cs="仿宋"/>
          <w:color w:val="000000"/>
          <w:sz w:val="32"/>
          <w:szCs w:val="32"/>
        </w:rPr>
      </w:pPr>
      <w:r>
        <w:rPr>
          <w:rFonts w:hint="eastAsia" w:ascii="仿宋" w:hAnsi="仿宋" w:eastAsia="仿宋" w:cs="仿宋"/>
          <w:color w:val="000000"/>
          <w:sz w:val="32"/>
          <w:szCs w:val="32"/>
          <w:vertAlign w:val="baseline"/>
        </w:rPr>
        <w:t>　　年综合能源消费量（建设地点、主要生产工艺和设备未改变的改建项目按照建成投产后年综合能源消费增量计算，其他项目按照建成投产后年综合能源消费量计算，电力折算系数按当量值，下同）10000吨标准煤及以上和管理权限在国务院、国家发展改革委、省发展改革委的固定资产投资项目，其节能审查由</w:t>
      </w:r>
      <w:r>
        <w:rPr>
          <w:rFonts w:hint="eastAsia" w:ascii="仿宋" w:hAnsi="仿宋" w:eastAsia="仿宋" w:cs="仿宋"/>
          <w:color w:val="FF0000"/>
          <w:sz w:val="32"/>
          <w:szCs w:val="32"/>
          <w:vertAlign w:val="baseline"/>
        </w:rPr>
        <w:t>省发展改革委负责</w:t>
      </w:r>
      <w:r>
        <w:rPr>
          <w:rFonts w:hint="eastAsia" w:ascii="仿宋" w:hAnsi="仿宋" w:eastAsia="仿宋" w:cs="仿宋"/>
          <w:color w:val="000000"/>
          <w:sz w:val="32"/>
          <w:szCs w:val="32"/>
          <w:vertAlign w:val="baseline"/>
        </w:rPr>
        <w:t>。年综合能源消费量在10000吨标准煤以下、1000吨标准煤以上或年电力消费量在500万千瓦时以上，且管理权限在市（州）及以下发展改革部门的固定资产投资项目，其节能审查由市（州）发展改革部门负责。</w:t>
      </w:r>
    </w:p>
    <w:p w14:paraId="FFFFB118">
      <w:pPr>
        <w:numPr>
          <w:ilvl w:val="0"/>
          <w:numId w:val="0"/>
        </w:numPr>
        <w:spacing w:before="0" w:beforeLines="0" w:after="0" w:afterLines="0"/>
        <w:rPr>
          <w:rFonts w:hint="eastAsia" w:ascii="仿宋" w:hAnsi="仿宋" w:eastAsia="仿宋" w:cs="仿宋"/>
          <w:sz w:val="32"/>
          <w:szCs w:val="32"/>
        </w:rPr>
      </w:pPr>
      <w:r>
        <w:rPr>
          <w:rFonts w:hint="eastAsia" w:ascii="仿宋" w:hAnsi="仿宋" w:eastAsia="仿宋" w:cs="仿宋"/>
          <w:color w:val="000000"/>
          <w:sz w:val="32"/>
          <w:szCs w:val="32"/>
          <w:vertAlign w:val="baseline"/>
        </w:rPr>
        <w:t>　　年综合能源消费量不满1000吨标准煤且年电力消费量不满500万千瓦时的固定资产投资项目，涉及国家秘密的固定资产投资项目以及用能工艺简单、节能潜力小的行业（具体行业目录由国家发展改革委制定公布并适时更新）的固定资产投资项目，可不单独编制节能报告，按项目管理权限实行年综合能源消费量报备管理制度。项目应按照相关节能标准、规范建设，项目可行性研究报告或项目申请报告应对项目能源利用、节能措施和能效水平等进行分析。节能审查机关对项目不再单独进行节能审查，不再出具节能审查意见。</w:t>
      </w:r>
    </w:p>
    <w:p w14:paraId="D7DF2287">
      <w:pPr>
        <w:pStyle w:val="4"/>
        <w:rPr>
          <w:rFonts w:hint="eastAsia" w:ascii="仿宋" w:hAnsi="仿宋" w:eastAsia="仿宋" w:cs="仿宋"/>
          <w:sz w:val="32"/>
          <w:szCs w:val="32"/>
        </w:rPr>
      </w:pPr>
    </w:p>
  </w:comment>
  <w:comment w:id="1" w:author="中联" w:date="2025-03-26T15:35:29Z" w:initials="y">
    <w:p w14:paraId="EFDB7706">
      <w:pPr>
        <w:pStyle w:val="4"/>
        <w:rPr>
          <w:rFonts w:hint="eastAsia" w:ascii="仿宋" w:hAnsi="仿宋" w:eastAsia="仿宋" w:cs="仿宋"/>
          <w:sz w:val="32"/>
          <w:szCs w:val="32"/>
          <w:lang w:eastAsia="zh-CN"/>
        </w:rPr>
      </w:pPr>
      <w:r>
        <w:rPr>
          <w:rFonts w:hint="eastAsia" w:ascii="仿宋" w:hAnsi="仿宋" w:eastAsia="仿宋" w:cs="仿宋"/>
          <w:sz w:val="32"/>
          <w:szCs w:val="32"/>
          <w:lang w:eastAsia="zh-CN"/>
        </w:rPr>
        <w:t>提示：随机抽取相应专业专家开展节能验收，并未明确专业专家人数，建议在条款中明确专业专家的人数。</w:t>
      </w:r>
    </w:p>
  </w:comment>
  <w:comment w:id="2" w:author="中联" w:date="2025-03-26T16:52:20Z" w:initials="y">
    <w:p w14:paraId="FCAB56F9">
      <w:pPr>
        <w:spacing w:before="0" w:beforeLines="0" w:after="0" w:afterLines="0"/>
        <w:ind w:firstLine="640" w:firstLineChars="200"/>
        <w:rPr>
          <w:rFonts w:hint="eastAsia" w:ascii="仿宋" w:hAnsi="仿宋" w:eastAsia="仿宋" w:cs="仿宋"/>
          <w:i w:val="0"/>
          <w:color w:val="333333"/>
          <w:spacing w:val="0"/>
          <w:sz w:val="32"/>
          <w:szCs w:val="32"/>
        </w:rPr>
      </w:pPr>
      <w:bookmarkStart w:id="0" w:name="_TocF0111CBDD0E045455AC37A21F6280746"/>
      <w:r>
        <w:rPr>
          <w:rFonts w:hint="eastAsia" w:ascii="仿宋" w:hAnsi="仿宋" w:eastAsia="仿宋" w:cs="仿宋"/>
          <w:i w:val="0"/>
          <w:color w:val="333333"/>
          <w:spacing w:val="0"/>
          <w:sz w:val="32"/>
          <w:szCs w:val="32"/>
        </w:rPr>
        <w:t>《固定资产投资项目节能审查办法》</w:t>
      </w:r>
    </w:p>
    <w:p w14:paraId="7FB1E9D7">
      <w:pPr>
        <w:pStyle w:val="3"/>
        <w:rPr>
          <w:rFonts w:hint="eastAsia" w:ascii="仿宋" w:hAnsi="仿宋" w:eastAsia="仿宋" w:cs="仿宋"/>
          <w:sz w:val="32"/>
          <w:szCs w:val="32"/>
        </w:rPr>
      </w:pPr>
      <w:r>
        <w:rPr>
          <w:rFonts w:hint="eastAsia" w:ascii="仿宋" w:hAnsi="仿宋" w:eastAsia="仿宋" w:cs="仿宋"/>
          <w:sz w:val="32"/>
          <w:szCs w:val="32"/>
        </w:rPr>
        <w:t>第五章　法律责任</w:t>
      </w:r>
      <w:bookmarkEnd w:id="0"/>
    </w:p>
    <w:p w14:paraId="37AF2DB3">
      <w:pPr>
        <w:spacing w:before="0" w:beforeLines="0" w:after="0" w:afterLines="0"/>
        <w:ind w:firstLine="642" w:firstLineChars="200"/>
        <w:rPr>
          <w:rFonts w:hint="eastAsia" w:ascii="仿宋" w:hAnsi="仿宋" w:eastAsia="仿宋" w:cs="仿宋"/>
          <w:b w:val="0"/>
          <w:sz w:val="32"/>
          <w:szCs w:val="32"/>
        </w:rPr>
      </w:pPr>
      <w:r>
        <w:rPr>
          <w:rStyle w:val="21"/>
          <w:rFonts w:hint="eastAsia" w:ascii="仿宋" w:hAnsi="仿宋" w:eastAsia="仿宋" w:cs="仿宋"/>
          <w:sz w:val="32"/>
          <w:szCs w:val="32"/>
        </w:rPr>
        <w:t>第二十三条</w:t>
      </w:r>
      <w:r>
        <w:rPr>
          <w:rStyle w:val="21"/>
          <w:rFonts w:hint="eastAsia" w:ascii="仿宋" w:hAnsi="仿宋" w:eastAsia="仿宋" w:cs="仿宋"/>
          <w:b w:val="0"/>
          <w:sz w:val="32"/>
          <w:szCs w:val="32"/>
        </w:rPr>
        <w:t>　</w:t>
      </w:r>
      <w:r>
        <w:rPr>
          <w:rFonts w:hint="eastAsia" w:ascii="仿宋" w:hAnsi="仿宋" w:eastAsia="仿宋" w:cs="仿宋"/>
          <w:sz w:val="32"/>
          <w:szCs w:val="32"/>
        </w:rPr>
        <w:t> 对未按本办法规定进行节能审查，或节能审查未获通过，擅自开工建设或擅自投入生产、使用的固定资产投资项目，由节能审查机关责令停止建设或停止生产、使用，限期整改，并对建设单位进行通报批评，视情节处10万元以下罚款。经节能审查机关认定完成整改的项目，节能审查机关可依据实际情况出具整改完成证明。不能整改或逾期不整改的生产性项目，由节能审查机关报请本级人民政府按照国务院规定的权限责令关闭，并依法追究有关责任人的责任。
</w:t>
      </w:r>
    </w:p>
    <w:p w14:paraId="25FFA4D7">
      <w:pPr>
        <w:spacing w:before="0" w:beforeLines="0" w:after="0" w:afterLines="0"/>
        <w:ind w:firstLine="642" w:firstLineChars="200"/>
        <w:rPr>
          <w:rFonts w:hint="eastAsia" w:ascii="仿宋" w:hAnsi="仿宋" w:eastAsia="仿宋" w:cs="仿宋"/>
          <w:b w:val="0"/>
          <w:sz w:val="32"/>
          <w:szCs w:val="32"/>
        </w:rPr>
      </w:pPr>
      <w:r>
        <w:rPr>
          <w:rStyle w:val="21"/>
          <w:rFonts w:hint="eastAsia" w:ascii="仿宋" w:hAnsi="仿宋" w:eastAsia="仿宋" w:cs="仿宋"/>
          <w:sz w:val="32"/>
          <w:szCs w:val="32"/>
        </w:rPr>
        <w:t>第二十四条</w:t>
      </w:r>
      <w:r>
        <w:rPr>
          <w:rStyle w:val="21"/>
          <w:rFonts w:hint="eastAsia" w:ascii="仿宋" w:hAnsi="仿宋" w:eastAsia="仿宋" w:cs="仿宋"/>
          <w:b w:val="0"/>
          <w:sz w:val="32"/>
          <w:szCs w:val="32"/>
        </w:rPr>
        <w:t>　</w:t>
      </w:r>
      <w:r>
        <w:rPr>
          <w:rFonts w:hint="eastAsia" w:ascii="仿宋" w:hAnsi="仿宋" w:eastAsia="仿宋" w:cs="仿宋"/>
          <w:sz w:val="32"/>
          <w:szCs w:val="32"/>
        </w:rPr>
        <w:t> 以拆分项目、提供虚假材料等不正当手段通过节能审查的固定资产投资项目，由节能审查机关撤销项目的节能审查意见；以不正当手段逃避节能审查的固定资产投资项目，由节能审查机关按程序进行节能审查。项目已开工建设或投入生产、使用的，按本办法第二十三条有关规定进行处罚。
</w:t>
      </w:r>
    </w:p>
    <w:p w14:paraId="5F7F1511">
      <w:pPr>
        <w:spacing w:before="0" w:beforeLines="0" w:after="0" w:afterLines="0"/>
        <w:ind w:firstLine="642" w:firstLineChars="200"/>
        <w:rPr>
          <w:rFonts w:hint="eastAsia" w:ascii="仿宋" w:hAnsi="仿宋" w:eastAsia="仿宋" w:cs="仿宋"/>
          <w:b w:val="0"/>
          <w:sz w:val="32"/>
          <w:szCs w:val="32"/>
        </w:rPr>
      </w:pPr>
      <w:r>
        <w:rPr>
          <w:rStyle w:val="21"/>
          <w:rFonts w:hint="eastAsia" w:ascii="仿宋" w:hAnsi="仿宋" w:eastAsia="仿宋" w:cs="仿宋"/>
          <w:sz w:val="32"/>
          <w:szCs w:val="32"/>
        </w:rPr>
        <w:t>第二十五条</w:t>
      </w:r>
      <w:r>
        <w:rPr>
          <w:rStyle w:val="21"/>
          <w:rFonts w:hint="eastAsia" w:ascii="仿宋" w:hAnsi="仿宋" w:eastAsia="仿宋" w:cs="仿宋"/>
          <w:b w:val="0"/>
          <w:sz w:val="32"/>
          <w:szCs w:val="32"/>
        </w:rPr>
        <w:t>　</w:t>
      </w:r>
      <w:r>
        <w:rPr>
          <w:rFonts w:hint="eastAsia" w:ascii="仿宋" w:hAnsi="仿宋" w:eastAsia="仿宋" w:cs="仿宋"/>
          <w:sz w:val="32"/>
          <w:szCs w:val="32"/>
        </w:rPr>
        <w:t> 未落实节能审查意见要求的固定资产投资项目，由节能审查机关责令建设单位限期整改。不能整改或逾期不整改的，由节能审查机关按照法律法规的有关规定进行处罚。
</w:t>
      </w:r>
    </w:p>
    <w:p w14:paraId="DFFA482B">
      <w:pPr>
        <w:spacing w:before="0" w:beforeLines="0" w:after="0" w:afterLines="0"/>
        <w:ind w:firstLine="642" w:firstLineChars="200"/>
        <w:rPr>
          <w:rFonts w:hint="eastAsia" w:ascii="仿宋" w:hAnsi="仿宋" w:eastAsia="仿宋" w:cs="仿宋"/>
          <w:b w:val="0"/>
          <w:sz w:val="32"/>
          <w:szCs w:val="32"/>
        </w:rPr>
      </w:pPr>
      <w:r>
        <w:rPr>
          <w:rStyle w:val="21"/>
          <w:rFonts w:hint="eastAsia" w:ascii="仿宋" w:hAnsi="仿宋" w:eastAsia="仿宋" w:cs="仿宋"/>
          <w:sz w:val="32"/>
          <w:szCs w:val="32"/>
        </w:rPr>
        <w:t>第二十六条</w:t>
      </w:r>
      <w:r>
        <w:rPr>
          <w:rStyle w:val="21"/>
          <w:rFonts w:hint="eastAsia" w:ascii="仿宋" w:hAnsi="仿宋" w:eastAsia="仿宋" w:cs="仿宋"/>
          <w:b w:val="0"/>
          <w:sz w:val="32"/>
          <w:szCs w:val="32"/>
        </w:rPr>
        <w:t>　</w:t>
      </w:r>
      <w:r>
        <w:rPr>
          <w:rFonts w:hint="eastAsia" w:ascii="仿宋" w:hAnsi="仿宋" w:eastAsia="仿宋" w:cs="仿宋"/>
          <w:sz w:val="32"/>
          <w:szCs w:val="32"/>
        </w:rPr>
        <w:t> 未按本办法规定进行节能验收或验收不合格，擅自投入生产、使用的固定资产投资项目，以及以提供虚假材料等不正当手段通过节能验收的固定资产投资项目，由节能审查机关责令建设单位限期整改，并处3万元以上5万元以下罚款。</w:t>
      </w:r>
    </w:p>
    <w:p w14:paraId="FFFFC895">
      <w:pPr>
        <w:spacing w:before="0" w:beforeLines="0" w:after="0" w:afterLines="0"/>
        <w:ind w:firstLine="642" w:firstLineChars="200"/>
        <w:rPr>
          <w:rFonts w:hint="eastAsia" w:ascii="仿宋" w:hAnsi="仿宋" w:eastAsia="仿宋" w:cs="仿宋"/>
          <w:b w:val="0"/>
          <w:sz w:val="32"/>
          <w:szCs w:val="32"/>
        </w:rPr>
      </w:pPr>
      <w:r>
        <w:rPr>
          <w:rStyle w:val="21"/>
          <w:rFonts w:hint="eastAsia" w:ascii="仿宋" w:hAnsi="仿宋" w:eastAsia="仿宋" w:cs="仿宋"/>
          <w:sz w:val="32"/>
          <w:szCs w:val="32"/>
        </w:rPr>
        <w:t>第二十七条</w:t>
      </w:r>
      <w:r>
        <w:rPr>
          <w:rStyle w:val="21"/>
          <w:rFonts w:hint="eastAsia" w:ascii="仿宋" w:hAnsi="仿宋" w:eastAsia="仿宋" w:cs="仿宋"/>
          <w:b w:val="0"/>
          <w:sz w:val="32"/>
          <w:szCs w:val="32"/>
        </w:rPr>
        <w:t>　</w:t>
      </w:r>
      <w:r>
        <w:rPr>
          <w:rFonts w:hint="eastAsia" w:ascii="仿宋" w:hAnsi="仿宋" w:eastAsia="仿宋" w:cs="仿宋"/>
          <w:sz w:val="32"/>
          <w:szCs w:val="32"/>
        </w:rPr>
        <w:t> 从事节能咨询、评审等节能服务的机构提供节能审查虚假信息的，由管理节能工作的部门责令改正，没收违法所得，并处5万元以上10万元以下罚款。
</w:t>
      </w:r>
    </w:p>
    <w:p w14:paraId="FFF7C879">
      <w:pPr>
        <w:spacing w:before="0" w:beforeLines="0" w:after="0" w:afterLines="0"/>
        <w:ind w:firstLine="642" w:firstLineChars="200"/>
        <w:rPr>
          <w:rFonts w:hint="eastAsia" w:ascii="仿宋" w:hAnsi="仿宋" w:eastAsia="仿宋" w:cs="仿宋"/>
          <w:b w:val="0"/>
          <w:sz w:val="32"/>
          <w:szCs w:val="32"/>
        </w:rPr>
      </w:pPr>
      <w:r>
        <w:rPr>
          <w:rStyle w:val="21"/>
          <w:rFonts w:hint="eastAsia" w:ascii="仿宋" w:hAnsi="仿宋" w:eastAsia="仿宋" w:cs="仿宋"/>
          <w:sz w:val="32"/>
          <w:szCs w:val="32"/>
        </w:rPr>
        <w:t>第二十八条</w:t>
      </w:r>
      <w:r>
        <w:rPr>
          <w:rStyle w:val="21"/>
          <w:rFonts w:hint="eastAsia" w:ascii="仿宋" w:hAnsi="仿宋" w:eastAsia="仿宋" w:cs="仿宋"/>
          <w:b w:val="0"/>
          <w:sz w:val="32"/>
          <w:szCs w:val="32"/>
        </w:rPr>
        <w:t>　</w:t>
      </w:r>
      <w:r>
        <w:rPr>
          <w:rFonts w:hint="eastAsia" w:ascii="仿宋" w:hAnsi="仿宋" w:eastAsia="仿宋" w:cs="仿宋"/>
          <w:sz w:val="32"/>
          <w:szCs w:val="32"/>
        </w:rPr>
        <w:t> 节能审查机关对建设单位、中介机构等的违法违规信息进行记录，将违法违规行为及其处理信息纳入全国信用信息共享平台和投资项目在线审批监管平台，在“信用中国”网站向社会公开。对列入严重失信主体名单的，依法依规实施联合惩戒措施。
</w:t>
      </w:r>
    </w:p>
    <w:p w14:paraId="55FD2721">
      <w:pPr>
        <w:spacing w:before="0" w:beforeLines="0" w:after="0" w:afterLines="0"/>
        <w:ind w:firstLine="642" w:firstLineChars="200"/>
        <w:rPr>
          <w:rFonts w:hint="eastAsia" w:ascii="仿宋" w:hAnsi="仿宋" w:eastAsia="仿宋" w:cs="仿宋"/>
          <w:b w:val="0"/>
          <w:sz w:val="32"/>
          <w:szCs w:val="32"/>
        </w:rPr>
      </w:pPr>
      <w:r>
        <w:rPr>
          <w:rStyle w:val="21"/>
          <w:rFonts w:hint="eastAsia" w:ascii="仿宋" w:hAnsi="仿宋" w:eastAsia="仿宋" w:cs="仿宋"/>
          <w:sz w:val="32"/>
          <w:szCs w:val="32"/>
        </w:rPr>
        <w:t>第二十九条</w:t>
      </w:r>
      <w:r>
        <w:rPr>
          <w:rStyle w:val="21"/>
          <w:rFonts w:hint="eastAsia" w:ascii="仿宋" w:hAnsi="仿宋" w:eastAsia="仿宋" w:cs="仿宋"/>
          <w:b w:val="0"/>
          <w:sz w:val="32"/>
          <w:szCs w:val="32"/>
        </w:rPr>
        <w:t>　</w:t>
      </w:r>
      <w:r>
        <w:rPr>
          <w:rFonts w:hint="eastAsia" w:ascii="仿宋" w:hAnsi="仿宋" w:eastAsia="仿宋" w:cs="仿宋"/>
          <w:sz w:val="32"/>
          <w:szCs w:val="32"/>
        </w:rPr>
        <w:t> 负责审批政府投资项目的工作人员，对未进行节能审查或节能审查未获通过的项目，违反本办法规定予以批准的，依法给予处分。
</w:t>
      </w:r>
    </w:p>
    <w:p w14:paraId="7B77A90C">
      <w:pPr>
        <w:pStyle w:val="4"/>
        <w:rPr>
          <w:rFonts w:hint="eastAsia" w:ascii="仿宋" w:hAnsi="仿宋" w:eastAsia="仿宋" w:cs="仿宋"/>
          <w:sz w:val="32"/>
          <w:szCs w:val="32"/>
        </w:rPr>
      </w:pPr>
      <w:r>
        <w:rPr>
          <w:rStyle w:val="21"/>
          <w:rFonts w:hint="eastAsia" w:ascii="仿宋" w:hAnsi="仿宋" w:eastAsia="仿宋" w:cs="仿宋"/>
          <w:sz w:val="32"/>
          <w:szCs w:val="32"/>
        </w:rPr>
        <w:t>第三十条</w:t>
      </w:r>
      <w:r>
        <w:rPr>
          <w:rStyle w:val="21"/>
          <w:rFonts w:hint="eastAsia" w:ascii="仿宋" w:hAnsi="仿宋" w:eastAsia="仿宋" w:cs="仿宋"/>
          <w:b w:val="0"/>
          <w:sz w:val="32"/>
          <w:szCs w:val="32"/>
        </w:rPr>
        <w:t>　</w:t>
      </w:r>
      <w:r>
        <w:rPr>
          <w:rFonts w:hint="eastAsia" w:ascii="仿宋" w:hAnsi="仿宋" w:eastAsia="仿宋" w:cs="仿宋"/>
          <w:sz w:val="32"/>
          <w:szCs w:val="32"/>
        </w:rPr>
        <w:t> 节能审查机关、节能评审机构工作人员以及其他参与评审的有关人员在节能评审中存在违纪违法行为，依法给予处分，构成犯罪的依法追究刑事责任。</w:t>
      </w:r>
    </w:p>
    <w:p w14:paraId="EAAEAD90">
      <w:pPr>
        <w:pStyle w:val="25"/>
        <w:pBdr>
          <w:top w:val="none" w:color="auto" w:sz="0" w:space="0"/>
          <w:left w:val="none" w:color="auto" w:sz="0" w:space="0"/>
          <w:bottom w:val="none" w:color="auto" w:sz="0" w:space="0"/>
          <w:right w:val="none" w:color="auto" w:sz="0" w:space="0"/>
        </w:pBdr>
        <w:spacing w:before="0" w:after="0"/>
        <w:ind w:left="375" w:right="375"/>
        <w:jc w:val="center"/>
        <w:textAlignment w:val="baseline"/>
        <w:rPr>
          <w:rFonts w:hint="eastAsia" w:ascii="仿宋" w:hAnsi="仿宋" w:eastAsia="仿宋" w:cs="仿宋"/>
          <w:b/>
          <w:bCs/>
          <w:color w:val="000000"/>
          <w:sz w:val="32"/>
          <w:szCs w:val="32"/>
        </w:rPr>
      </w:pPr>
      <w:r>
        <w:rPr>
          <w:rFonts w:hint="eastAsia" w:ascii="仿宋" w:hAnsi="仿宋" w:eastAsia="仿宋" w:cs="仿宋"/>
          <w:color w:val="000000"/>
          <w:sz w:val="32"/>
          <w:szCs w:val="32"/>
          <w:vertAlign w:val="baseline"/>
          <w:lang w:eastAsia="zh-CN"/>
        </w:rPr>
        <w:t>《</w:t>
      </w:r>
      <w:r>
        <w:rPr>
          <w:rFonts w:hint="eastAsia" w:ascii="仿宋" w:hAnsi="仿宋" w:eastAsia="仿宋" w:cs="仿宋"/>
          <w:color w:val="000000"/>
          <w:sz w:val="32"/>
          <w:szCs w:val="32"/>
          <w:vertAlign w:val="baseline"/>
        </w:rPr>
        <w:t>贵州省固定资产投资项目节能审查实施办法</w:t>
      </w:r>
      <w:r>
        <w:rPr>
          <w:rFonts w:hint="eastAsia" w:ascii="仿宋" w:hAnsi="仿宋" w:eastAsia="仿宋" w:cs="仿宋"/>
          <w:color w:val="000000"/>
          <w:sz w:val="32"/>
          <w:szCs w:val="32"/>
          <w:vertAlign w:val="baseline"/>
          <w:lang w:eastAsia="zh-CN"/>
        </w:rPr>
        <w:t>》</w:t>
      </w:r>
      <w:r>
        <w:rPr>
          <w:rFonts w:hint="eastAsia" w:ascii="仿宋" w:hAnsi="仿宋" w:eastAsia="仿宋" w:cs="仿宋"/>
          <w:color w:val="000000"/>
          <w:sz w:val="32"/>
          <w:szCs w:val="32"/>
        </w:rPr>
        <w:t>第五章　法律责任</w:t>
      </w:r>
    </w:p>
    <w:p w14:paraId="FBF589C1">
      <w:pPr>
        <w:pStyle w:val="22"/>
        <w:spacing w:before="0" w:after="0" w:line="600" w:lineRule="atLeast"/>
        <w:ind w:left="375" w:right="375"/>
        <w:rPr>
          <w:rFonts w:hint="eastAsia" w:ascii="仿宋" w:hAnsi="仿宋" w:eastAsia="仿宋" w:cs="仿宋"/>
          <w:color w:val="000000"/>
          <w:sz w:val="32"/>
          <w:szCs w:val="32"/>
        </w:rPr>
      </w:pPr>
      <w:bookmarkStart w:id="1" w:name="tiao_21"/>
      <w:bookmarkEnd w:id="1"/>
      <w:r>
        <w:rPr>
          <w:rStyle w:val="23"/>
          <w:rFonts w:hint="eastAsia" w:ascii="仿宋" w:hAnsi="仿宋" w:eastAsia="仿宋" w:cs="仿宋"/>
          <w:b/>
          <w:bCs/>
          <w:color w:val="000000"/>
          <w:sz w:val="32"/>
          <w:szCs w:val="32"/>
        </w:rPr>
        <w:t>第二十一条　</w:t>
      </w:r>
      <w:r>
        <w:rPr>
          <w:rFonts w:hint="eastAsia" w:ascii="仿宋" w:hAnsi="仿宋" w:eastAsia="仿宋" w:cs="仿宋"/>
          <w:color w:val="000000"/>
          <w:sz w:val="32"/>
          <w:szCs w:val="32"/>
          <w:vertAlign w:val="baseline"/>
        </w:rPr>
        <w:t>对未按本办法规定进行节能审查，或节能审查未获通过，擅自开工建设或擅自投入生产、使用的固定资产投资项目，由节能审查机关责令停止建设或停止生产、使用，限期整改，并对建设单位进行通报批评。经节能审查机关认定完成整改的项目，节能审查机关可依据实际情况出具整改完成证明。不能整改或逾期不整改的生产性项目，由节能审查机关报请本级人民政府按照省人民政府规定的权限责令关闭，并依法追究有关责任人的责任。</w:t>
      </w:r>
    </w:p>
    <w:p w14:paraId="3EFDE37E">
      <w:pPr>
        <w:pStyle w:val="22"/>
        <w:spacing w:before="0" w:after="0" w:line="600" w:lineRule="atLeast"/>
        <w:ind w:left="375" w:right="375"/>
        <w:rPr>
          <w:rFonts w:hint="eastAsia" w:ascii="仿宋" w:hAnsi="仿宋" w:eastAsia="仿宋" w:cs="仿宋"/>
          <w:color w:val="000000"/>
          <w:sz w:val="32"/>
          <w:szCs w:val="32"/>
        </w:rPr>
      </w:pPr>
      <w:bookmarkStart w:id="2" w:name="tiao_22"/>
      <w:bookmarkEnd w:id="2"/>
      <w:r>
        <w:rPr>
          <w:rStyle w:val="23"/>
          <w:rFonts w:hint="eastAsia" w:ascii="仿宋" w:hAnsi="仿宋" w:eastAsia="仿宋" w:cs="仿宋"/>
          <w:b/>
          <w:bCs/>
          <w:color w:val="000000"/>
          <w:sz w:val="32"/>
          <w:szCs w:val="32"/>
        </w:rPr>
        <w:t>第二十二条　</w:t>
      </w:r>
      <w:r>
        <w:rPr>
          <w:rFonts w:hint="eastAsia" w:ascii="仿宋" w:hAnsi="仿宋" w:eastAsia="仿宋" w:cs="仿宋"/>
          <w:color w:val="000000"/>
          <w:sz w:val="32"/>
          <w:szCs w:val="32"/>
          <w:vertAlign w:val="baseline"/>
        </w:rPr>
        <w:t>以拆分项目、提供虚假材料等不正当手段通过节能审查的固定资产投资项目，由节能审查机关撤销项目的节能审查意见；以不正当手段逃避节能审查的固定资产投资项目，由节能审查机关按程序进行节能审查。项目已开工建设或投入生产、使用的，按本办法第二十一条有关规定进行处理。</w:t>
      </w:r>
    </w:p>
    <w:p w14:paraId="4727E8EC">
      <w:pPr>
        <w:pStyle w:val="22"/>
        <w:spacing w:before="0" w:after="0" w:line="600" w:lineRule="atLeast"/>
        <w:ind w:left="375" w:right="375"/>
        <w:rPr>
          <w:rFonts w:hint="eastAsia" w:ascii="仿宋" w:hAnsi="仿宋" w:eastAsia="仿宋" w:cs="仿宋"/>
          <w:color w:val="000000"/>
          <w:sz w:val="32"/>
          <w:szCs w:val="32"/>
        </w:rPr>
      </w:pPr>
      <w:bookmarkStart w:id="3" w:name="tiao_23"/>
      <w:bookmarkEnd w:id="3"/>
      <w:r>
        <w:rPr>
          <w:rStyle w:val="23"/>
          <w:rFonts w:hint="eastAsia" w:ascii="仿宋" w:hAnsi="仿宋" w:eastAsia="仿宋" w:cs="仿宋"/>
          <w:b/>
          <w:bCs/>
          <w:color w:val="000000"/>
          <w:sz w:val="32"/>
          <w:szCs w:val="32"/>
        </w:rPr>
        <w:t>第二十三条　</w:t>
      </w:r>
      <w:r>
        <w:rPr>
          <w:rFonts w:hint="eastAsia" w:ascii="仿宋" w:hAnsi="仿宋" w:eastAsia="仿宋" w:cs="仿宋"/>
          <w:color w:val="000000"/>
          <w:sz w:val="32"/>
          <w:szCs w:val="32"/>
          <w:vertAlign w:val="baseline"/>
        </w:rPr>
        <w:t>未落实节能审查意见要求的固定资产投资项目，由节能审查机关责令建设单位限期整改。</w:t>
      </w:r>
    </w:p>
    <w:p w14:paraId="7FF21130">
      <w:pPr>
        <w:pStyle w:val="22"/>
        <w:spacing w:before="0" w:after="0" w:line="600" w:lineRule="atLeast"/>
        <w:ind w:left="375" w:right="375"/>
        <w:rPr>
          <w:rFonts w:hint="eastAsia" w:ascii="仿宋" w:hAnsi="仿宋" w:eastAsia="仿宋" w:cs="仿宋"/>
          <w:color w:val="000000"/>
          <w:sz w:val="32"/>
          <w:szCs w:val="32"/>
        </w:rPr>
      </w:pPr>
      <w:bookmarkStart w:id="4" w:name="tiao_24"/>
      <w:bookmarkEnd w:id="4"/>
      <w:r>
        <w:rPr>
          <w:rStyle w:val="23"/>
          <w:rFonts w:hint="eastAsia" w:ascii="仿宋" w:hAnsi="仿宋" w:eastAsia="仿宋" w:cs="仿宋"/>
          <w:b/>
          <w:bCs/>
          <w:color w:val="000000"/>
          <w:sz w:val="32"/>
          <w:szCs w:val="32"/>
        </w:rPr>
        <w:t>第二十四条　</w:t>
      </w:r>
      <w:r>
        <w:rPr>
          <w:rFonts w:hint="eastAsia" w:ascii="仿宋" w:hAnsi="仿宋" w:eastAsia="仿宋" w:cs="仿宋"/>
          <w:color w:val="000000"/>
          <w:sz w:val="32"/>
          <w:szCs w:val="32"/>
          <w:vertAlign w:val="baseline"/>
        </w:rPr>
        <w:t>未按本办法规定进行节能验收或验收不合格，擅自投入生产、使用的固定资产投资项目，以及以提供虚假材料等不正当手段通过节能验收的固定资产投资项目，由节能审查机关责令建设单位限期整改。</w:t>
      </w:r>
    </w:p>
    <w:p w14:paraId="69BDC959">
      <w:pPr>
        <w:pStyle w:val="22"/>
        <w:spacing w:before="0" w:after="0" w:line="600" w:lineRule="atLeast"/>
        <w:ind w:left="375" w:right="375"/>
        <w:rPr>
          <w:rFonts w:hint="eastAsia" w:ascii="仿宋" w:hAnsi="仿宋" w:eastAsia="仿宋" w:cs="仿宋"/>
          <w:color w:val="000000"/>
          <w:sz w:val="32"/>
          <w:szCs w:val="32"/>
        </w:rPr>
      </w:pPr>
      <w:bookmarkStart w:id="5" w:name="tiao_25"/>
      <w:bookmarkEnd w:id="5"/>
      <w:r>
        <w:rPr>
          <w:rStyle w:val="23"/>
          <w:rFonts w:hint="eastAsia" w:ascii="仿宋" w:hAnsi="仿宋" w:eastAsia="仿宋" w:cs="仿宋"/>
          <w:b/>
          <w:bCs/>
          <w:color w:val="000000"/>
          <w:sz w:val="32"/>
          <w:szCs w:val="32"/>
        </w:rPr>
        <w:t>第二十五条　</w:t>
      </w:r>
      <w:r>
        <w:rPr>
          <w:rFonts w:hint="eastAsia" w:ascii="仿宋" w:hAnsi="仿宋" w:eastAsia="仿宋" w:cs="仿宋"/>
          <w:color w:val="000000"/>
          <w:sz w:val="32"/>
          <w:szCs w:val="32"/>
          <w:vertAlign w:val="baseline"/>
        </w:rPr>
        <w:t>从事节能咨询、评审等节能服务的机构提供节能审查虚假信息的，由管理节能工作的部门责令改正，没收违法所得。</w:t>
      </w:r>
    </w:p>
    <w:p w14:paraId="B7793073">
      <w:pPr>
        <w:pStyle w:val="22"/>
        <w:spacing w:before="0" w:after="0" w:line="600" w:lineRule="atLeast"/>
        <w:ind w:left="375" w:right="375"/>
        <w:rPr>
          <w:rFonts w:hint="eastAsia" w:ascii="仿宋" w:hAnsi="仿宋" w:eastAsia="仿宋" w:cs="仿宋"/>
          <w:color w:val="000000"/>
          <w:sz w:val="32"/>
          <w:szCs w:val="32"/>
        </w:rPr>
      </w:pPr>
      <w:bookmarkStart w:id="6" w:name="tiao_26"/>
      <w:bookmarkEnd w:id="6"/>
      <w:r>
        <w:rPr>
          <w:rStyle w:val="23"/>
          <w:rFonts w:hint="eastAsia" w:ascii="仿宋" w:hAnsi="仿宋" w:eastAsia="仿宋" w:cs="仿宋"/>
          <w:b/>
          <w:bCs/>
          <w:color w:val="000000"/>
          <w:sz w:val="32"/>
          <w:szCs w:val="32"/>
        </w:rPr>
        <w:t>第二十六条　</w:t>
      </w:r>
      <w:r>
        <w:rPr>
          <w:rFonts w:hint="eastAsia" w:ascii="仿宋" w:hAnsi="仿宋" w:eastAsia="仿宋" w:cs="仿宋"/>
          <w:color w:val="000000"/>
          <w:sz w:val="32"/>
          <w:szCs w:val="32"/>
          <w:vertAlign w:val="baseline"/>
        </w:rPr>
        <w:t>节能审查机关对建设单位、中介机构等的违法违规信息进行记录，将违法违规行为及其处理信息纳入全国信用信息共享平台（贵州）和贵州省投资项目在线审批监管平台，在信用中国（贵州）网站向社会公开。对列入严重失信主体名单的，依法依规实施联合惩戒措施。</w:t>
      </w:r>
    </w:p>
    <w:p w14:paraId="5EEFAB2A">
      <w:pPr>
        <w:pStyle w:val="22"/>
        <w:spacing w:before="0" w:after="0" w:line="600" w:lineRule="atLeast"/>
        <w:ind w:left="375" w:right="375"/>
        <w:rPr>
          <w:rFonts w:hint="eastAsia" w:ascii="仿宋" w:hAnsi="仿宋" w:eastAsia="仿宋" w:cs="仿宋"/>
          <w:color w:val="000000"/>
          <w:sz w:val="32"/>
          <w:szCs w:val="32"/>
        </w:rPr>
      </w:pPr>
      <w:bookmarkStart w:id="7" w:name="tiao_27"/>
      <w:bookmarkEnd w:id="7"/>
      <w:r>
        <w:rPr>
          <w:rStyle w:val="23"/>
          <w:rFonts w:hint="eastAsia" w:ascii="仿宋" w:hAnsi="仿宋" w:eastAsia="仿宋" w:cs="仿宋"/>
          <w:b/>
          <w:bCs/>
          <w:color w:val="000000"/>
          <w:sz w:val="32"/>
          <w:szCs w:val="32"/>
        </w:rPr>
        <w:t>第二十七条　</w:t>
      </w:r>
      <w:r>
        <w:rPr>
          <w:rFonts w:hint="eastAsia" w:ascii="仿宋" w:hAnsi="仿宋" w:eastAsia="仿宋" w:cs="仿宋"/>
          <w:color w:val="000000"/>
          <w:sz w:val="32"/>
          <w:szCs w:val="32"/>
          <w:vertAlign w:val="baseline"/>
        </w:rPr>
        <w:t>负责审批政府投资项目的工作人员，对未进行节能审查或节能审查未获通过的项目，违反本办法规定予以批准的，依法给予处分。</w:t>
      </w:r>
    </w:p>
    <w:p w14:paraId="56EAEAD8">
      <w:pPr>
        <w:pStyle w:val="22"/>
        <w:spacing w:before="0" w:after="0" w:line="600" w:lineRule="atLeast"/>
        <w:ind w:left="375" w:right="375"/>
        <w:rPr>
          <w:rFonts w:hint="eastAsia" w:ascii="仿宋" w:hAnsi="仿宋" w:eastAsia="仿宋" w:cs="仿宋"/>
          <w:color w:val="000000"/>
          <w:sz w:val="32"/>
          <w:szCs w:val="32"/>
        </w:rPr>
      </w:pPr>
      <w:bookmarkStart w:id="8" w:name="tiao_28"/>
      <w:bookmarkEnd w:id="8"/>
      <w:r>
        <w:rPr>
          <w:rStyle w:val="23"/>
          <w:rFonts w:hint="eastAsia" w:ascii="仿宋" w:hAnsi="仿宋" w:eastAsia="仿宋" w:cs="仿宋"/>
          <w:b/>
          <w:bCs/>
          <w:color w:val="000000"/>
          <w:sz w:val="32"/>
          <w:szCs w:val="32"/>
        </w:rPr>
        <w:t>第二十八条　</w:t>
      </w:r>
      <w:r>
        <w:rPr>
          <w:rFonts w:hint="eastAsia" w:ascii="仿宋" w:hAnsi="仿宋" w:eastAsia="仿宋" w:cs="仿宋"/>
          <w:color w:val="000000"/>
          <w:sz w:val="32"/>
          <w:szCs w:val="32"/>
          <w:vertAlign w:val="baseline"/>
        </w:rPr>
        <w:t>节能审查机关、节能评审机构工作人员以及其他参与评审的有关人员在节能评审中存在违纪违法行为，依法给予处分，构成犯罪的依法追究刑事责任。</w:t>
      </w:r>
    </w:p>
    <w:p w14:paraId="FFFD7FB6">
      <w:pPr>
        <w:pStyle w:val="4"/>
        <w:rPr>
          <w:rFonts w:hint="eastAsia" w:ascii="仿宋" w:hAnsi="仿宋" w:eastAsia="仿宋" w:cs="仿宋"/>
          <w:sz w:val="32"/>
          <w:szCs w:val="32"/>
        </w:rPr>
      </w:pPr>
      <w:bookmarkStart w:id="9" w:name="tiao_29"/>
      <w:bookmarkEnd w:id="9"/>
      <w:r>
        <w:rPr>
          <w:rStyle w:val="23"/>
          <w:rFonts w:hint="eastAsia" w:ascii="仿宋" w:hAnsi="仿宋" w:eastAsia="仿宋" w:cs="仿宋"/>
          <w:b/>
          <w:bCs/>
          <w:color w:val="000000"/>
          <w:sz w:val="32"/>
          <w:szCs w:val="32"/>
        </w:rPr>
        <w:t>第二十九条　</w:t>
      </w:r>
      <w:r>
        <w:rPr>
          <w:rFonts w:hint="eastAsia" w:ascii="仿宋" w:hAnsi="仿宋" w:eastAsia="仿宋" w:cs="仿宋"/>
          <w:color w:val="000000"/>
          <w:sz w:val="32"/>
          <w:szCs w:val="32"/>
          <w:vertAlign w:val="baseline"/>
        </w:rPr>
        <w:t>违反本办法上述有关规定的，应当承担相应法律责任，由节能审查机关依据行政法规、地方性法规和部门规章规定进行处理。</w:t>
      </w:r>
    </w:p>
    <w:p w14:paraId="FFE3AF39">
      <w:pPr>
        <w:pStyle w:val="4"/>
        <w:rPr>
          <w:rFonts w:hint="eastAsia" w:ascii="仿宋" w:hAnsi="仿宋" w:eastAsia="仿宋" w:cs="仿宋"/>
          <w:sz w:val="32"/>
          <w:szCs w:val="32"/>
        </w:rPr>
      </w:pPr>
    </w:p>
  </w:comment>
  <w:comment w:id="3" w:author="中联" w:date="2025-03-26T16:48:10Z" w:initials="y">
    <w:p w14:paraId="77FED803">
      <w:pPr>
        <w:pStyle w:val="4"/>
        <w:rPr>
          <w:rFonts w:hint="eastAsia" w:eastAsia="宋体"/>
          <w:lang w:eastAsia="zh-CN"/>
        </w:rPr>
      </w:pPr>
      <w:r>
        <w:rPr>
          <w:rFonts w:hint="eastAsia"/>
          <w:lang w:eastAsia="zh-CN"/>
        </w:rPr>
        <w:t>提示：</w:t>
      </w:r>
      <w:r>
        <w:rPr>
          <w:rFonts w:ascii="仿宋_GB2312" w:hAnsi="仿宋_GB2312" w:eastAsia="仿宋_GB2312"/>
          <w:i w:val="0"/>
          <w:color w:val="333333"/>
          <w:spacing w:val="0"/>
          <w:sz w:val="32"/>
          <w:szCs w:val="32"/>
          <w:lang w:val="en-US" w:eastAsia="zh-CN"/>
        </w:rPr>
        <w:t>第</w:t>
      </w:r>
      <w:r>
        <w:rPr>
          <w:rFonts w:hint="eastAsia" w:ascii="仿宋_GB2312" w:hAnsi="仿宋_GB2312" w:eastAsia="仿宋_GB2312"/>
          <w:i w:val="0"/>
          <w:color w:val="333333"/>
          <w:spacing w:val="0"/>
          <w:sz w:val="32"/>
          <w:szCs w:val="32"/>
          <w:lang w:val="en-US" w:eastAsia="zh-CN"/>
        </w:rPr>
        <w:t>十九</w:t>
      </w:r>
      <w:r>
        <w:rPr>
          <w:rFonts w:ascii="仿宋_GB2312" w:hAnsi="仿宋_GB2312" w:eastAsia="仿宋_GB2312"/>
          <w:i w:val="0"/>
          <w:color w:val="333333"/>
          <w:spacing w:val="0"/>
          <w:sz w:val="32"/>
          <w:szCs w:val="32"/>
          <w:lang w:val="en-US" w:eastAsia="zh-CN"/>
        </w:rPr>
        <w:t>条 本办法自</w:t>
      </w:r>
      <w:r>
        <w:rPr>
          <w:rFonts w:hint="eastAsia" w:ascii="仿宋_GB2312" w:hAnsi="仿宋_GB2312" w:eastAsia="仿宋_GB2312"/>
          <w:i w:val="0"/>
          <w:color w:val="333333"/>
          <w:spacing w:val="0"/>
          <w:sz w:val="32"/>
          <w:szCs w:val="32"/>
          <w:lang w:val="en-US" w:eastAsia="zh-CN"/>
        </w:rPr>
        <w:t>印发之日</w:t>
      </w:r>
      <w:r>
        <w:rPr>
          <w:rFonts w:ascii="仿宋_GB2312" w:hAnsi="仿宋_GB2312" w:eastAsia="仿宋_GB2312"/>
          <w:i w:val="0"/>
          <w:color w:val="333333"/>
          <w:spacing w:val="0"/>
          <w:sz w:val="32"/>
          <w:szCs w:val="32"/>
          <w:lang w:val="en-US" w:eastAsia="zh-CN"/>
        </w:rPr>
        <w:t>起施行</w:t>
      </w:r>
      <w:r>
        <w:rPr>
          <w:rFonts w:hint="eastAsia" w:ascii="仿宋_GB2312" w:hAnsi="仿宋_GB2312" w:eastAsia="仿宋_GB2312"/>
          <w:i w:val="0"/>
          <w:color w:val="333333"/>
          <w:spacing w:val="0"/>
          <w:sz w:val="32"/>
          <w:szCs w:val="32"/>
          <w:lang w:val="en-US" w:eastAsia="zh-CN"/>
        </w:rPr>
        <w:t>。建议明确为某年某月某日起施行。</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D7DF2287" w15:done="1"/>
  <w15:commentEx w15:paraId="EFDB7706" w15:done="1"/>
  <w15:commentEx w15:paraId="FFE3AF39" w15:done="1"/>
  <w15:commentEx w15:paraId="77FED803"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iberation Sans">
    <w:altName w:val="文泉驿微米黑"/>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font-size:16px;text-indent:0em;">
    <w:altName w:val="文泉驿微米黑"/>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方正仿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 w:val="clear" w:pos="8306"/>
      </w:tabs>
      <w:rPr>
        <w:sz w:val="18"/>
      </w:rPr>
    </w:pPr>
    <w:r>
      <w:rPr>
        <w:sz w:val="18"/>
      </w:rPr>
      <mc:AlternateContent>
        <mc:Choice Requires="wps">
          <w:drawing>
            <wp:anchor distT="0" distB="0" distL="0" distR="0" simplePos="0" relativeHeight="251659264" behindDoc="0" locked="0" layoutInCell="1" allowOverlap="1">
              <wp:simplePos x="0" y="0"/>
              <wp:positionH relativeFrom="margin">
                <wp:posOffset>2535555</wp:posOffset>
              </wp:positionH>
              <wp:positionV relativeFrom="paragraph">
                <wp:posOffset>-43180</wp:posOffset>
              </wp:positionV>
              <wp:extent cx="457835" cy="1871980"/>
              <wp:effectExtent l="0" t="0" r="0" b="0"/>
              <wp:wrapNone/>
              <wp:docPr id="1" name="_x0000_s2049"/>
              <wp:cNvGraphicFramePr/>
              <a:graphic xmlns:a="http://schemas.openxmlformats.org/drawingml/2006/main">
                <a:graphicData uri="http://schemas.microsoft.com/office/word/2010/wordprocessingShape">
                  <wps:wsp>
                    <wps:cNvSpPr/>
                    <wps:spPr>
                      <a:xfrm>
                        <a:off x="0" y="0"/>
                        <a:ext cx="457835" cy="1871980"/>
                      </a:xfrm>
                      <a:prstGeom prst="rect">
                        <a:avLst/>
                      </a:prstGeom>
                    </wps:spPr>
                    <wps:txbx>
                      <w:txbxContent>
                        <w:p>
                          <w:r>
                            <w:t xml:space="preserve">— </w:t>
                          </w:r>
                          <w:r>
                            <w:rPr>
                              <w:sz w:val="28"/>
                              <w:szCs w:val="36"/>
                            </w:rPr>
                            <w:fldChar w:fldCharType="begin"/>
                          </w:r>
                          <w:r>
                            <w:rPr>
                              <w:sz w:val="28"/>
                              <w:szCs w:val="36"/>
                            </w:rPr>
                            <w:instrText xml:space="preserve"> PAGE  \* MERGEFORMAT </w:instrText>
                          </w:r>
                          <w:r>
                            <w:rPr>
                              <w:sz w:val="28"/>
                              <w:szCs w:val="36"/>
                            </w:rPr>
                            <w:fldChar w:fldCharType="separate"/>
                          </w:r>
                          <w:r>
                            <w:rPr>
                              <w:sz w:val="28"/>
                              <w:szCs w:val="36"/>
                            </w:rPr>
                            <w:t>1</w:t>
                          </w:r>
                          <w:r>
                            <w:rPr>
                              <w:sz w:val="28"/>
                              <w:szCs w:val="36"/>
                            </w:rPr>
                            <w:fldChar w:fldCharType="end"/>
                          </w:r>
                          <w:r>
                            <w:rPr>
                              <w:sz w:val="28"/>
                              <w:szCs w:val="36"/>
                            </w:rPr>
                            <w:t xml:space="preserve"> </w:t>
                          </w:r>
                          <w:r>
                            <w:t>—</w:t>
                          </w:r>
                        </w:p>
                      </w:txbxContent>
                    </wps:txbx>
                    <wps:bodyPr rot="0" vert="horz" wrap="square" lIns="0" tIns="0" rIns="0" bIns="0" anchor="t" anchorCtr="0"/>
                  </wps:wsp>
                </a:graphicData>
              </a:graphic>
            </wp:anchor>
          </w:drawing>
        </mc:Choice>
        <mc:Fallback>
          <w:pict>
            <v:rect id="_x0000_s2049" o:spid="_x0000_s1026" o:spt="1" style="position:absolute;left:0pt;margin-left:199.65pt;margin-top:-3.4pt;height:147.4pt;width:36.05pt;mso-position-horizontal-relative:margin;z-index:251659264;mso-width-relative:page;mso-height-relative:page;" filled="f" stroked="f" coordsize="21600,21600" o:gfxdata="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IP9lFnbAAAACgEAAA8AAAAAAAAAAQAgAAAAOAAAAGRycy9kb3ducmV2LnhtbFBLAQIUABQAAAAI&#10;AIdO4kD7CEmLmwEAACcDAAAOAAAAAAAAAAEAIAAAAEABAABkcnMvZTJvRG9jLnhtbFBLBQYAAAAA&#10;BgAGAFkBAABNBQAAAAA=&#10;">
              <v:fill on="f" focussize="0,0"/>
              <v:stroke on="f"/>
              <v:imagedata o:title=""/>
              <o:lock v:ext="edit" aspectratio="f"/>
              <v:textbox inset="0mm,0mm,0mm,0mm">
                <w:txbxContent>
                  <w:p>
                    <w:r>
                      <w:t xml:space="preserve">— </w:t>
                    </w:r>
                    <w:r>
                      <w:rPr>
                        <w:sz w:val="28"/>
                        <w:szCs w:val="36"/>
                      </w:rPr>
                      <w:fldChar w:fldCharType="begin"/>
                    </w:r>
                    <w:r>
                      <w:rPr>
                        <w:sz w:val="28"/>
                        <w:szCs w:val="36"/>
                      </w:rPr>
                      <w:instrText xml:space="preserve"> PAGE  \* MERGEFORMAT </w:instrText>
                    </w:r>
                    <w:r>
                      <w:rPr>
                        <w:sz w:val="28"/>
                        <w:szCs w:val="36"/>
                      </w:rPr>
                      <w:fldChar w:fldCharType="separate"/>
                    </w:r>
                    <w:r>
                      <w:rPr>
                        <w:sz w:val="28"/>
                        <w:szCs w:val="36"/>
                      </w:rPr>
                      <w:t>1</w:t>
                    </w:r>
                    <w:r>
                      <w:rPr>
                        <w:sz w:val="28"/>
                        <w:szCs w:val="36"/>
                      </w:rPr>
                      <w:fldChar w:fldCharType="end"/>
                    </w:r>
                    <w:r>
                      <w:rPr>
                        <w:sz w:val="28"/>
                        <w:szCs w:val="36"/>
                      </w:rPr>
                      <w:t xml:space="preserve"> </w:t>
                    </w:r>
                    <w:r>
                      <w:t>—</w:t>
                    </w:r>
                  </w:p>
                </w:txbxContent>
              </v:textbox>
            </v:rect>
          </w:pict>
        </mc:Fallback>
      </mc:AlternateContent>
    </w:r>
    <w:r>
      <w:rPr>
        <w:rFonts w:hint="eastAsia"/>
        <w:sz w:val="18"/>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E95010"/>
    <w:multiLevelType w:val="singleLevel"/>
    <w:tmpl w:val="ABE95010"/>
    <w:lvl w:ilvl="0" w:tentative="0">
      <w:start w:val="15"/>
      <w:numFmt w:val="chineseCounting"/>
      <w:suff w:val="space"/>
      <w:lvlText w:val="第%1条"/>
      <w:lvlJc w:val="left"/>
      <w:rPr>
        <w:rFonts w:hint="eastAsia"/>
      </w:rPr>
    </w:lvl>
  </w:abstractNum>
  <w:abstractNum w:abstractNumId="1">
    <w:nsid w:val="FBE257F9"/>
    <w:multiLevelType w:val="singleLevel"/>
    <w:tmpl w:val="FBE257F9"/>
    <w:lvl w:ilvl="0" w:tentative="0">
      <w:start w:val="1"/>
      <w:numFmt w:val="chineseCounting"/>
      <w:suff w:val="space"/>
      <w:lvlText w:val="第%1条"/>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中联">
    <w15:presenceInfo w15:providerId="None" w15:userId="中联"/>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visionView w:markup="0"/>
  <w:trackRevisions w:val="1"/>
  <w:documentProtection w:enforcement="0"/>
  <w:defaultTabStop w:val="420"/>
  <w:displayHorizontalDrawingGridEvery w:val="1"/>
  <w:displayVerticalDrawingGridEvery w:val="1"/>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BF4CCF"/>
    <w:rsid w:val="3FBF8F24"/>
    <w:rsid w:val="4F5F83BE"/>
    <w:rsid w:val="55FAAAE2"/>
    <w:rsid w:val="6F3F990D"/>
    <w:rsid w:val="6FF71193"/>
    <w:rsid w:val="76D7216E"/>
    <w:rsid w:val="77FFC8EF"/>
    <w:rsid w:val="7995334E"/>
    <w:rsid w:val="7E3D4AA7"/>
    <w:rsid w:val="7FFB0515"/>
    <w:rsid w:val="7FFE38DC"/>
    <w:rsid w:val="BAFC290E"/>
    <w:rsid w:val="BBFC122A"/>
    <w:rsid w:val="DEF704DF"/>
    <w:rsid w:val="F4F7F957"/>
    <w:rsid w:val="F5FD6B02"/>
    <w:rsid w:val="F7F357BA"/>
    <w:rsid w:val="FFC24B9B"/>
    <w:rsid w:val="FFFF4B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
    <w:qFormat/>
    <w:uiPriority w:val="0"/>
    <w:pPr>
      <w:widowControl w:val="0"/>
      <w:suppressAutoHyphens/>
      <w:bidi w:val="0"/>
      <w:jc w:val="both"/>
    </w:pPr>
    <w:rPr>
      <w:rFonts w:ascii="Calibri" w:hAnsi="Calibri" w:eastAsia="宋体" w:cs="Times New Roman"/>
      <w:color w:val="000000"/>
      <w:kern w:val="2"/>
      <w:sz w:val="21"/>
      <w:szCs w:val="24"/>
      <w:lang w:val="en-US" w:eastAsia="zh-CN" w:bidi="ar-SA"/>
    </w:rPr>
  </w:style>
  <w:style w:type="paragraph" w:styleId="3">
    <w:name w:val="heading 1"/>
    <w:basedOn w:val="1"/>
    <w:next w:val="1"/>
    <w:qFormat/>
    <w:uiPriority w:val="9"/>
    <w:pPr>
      <w:spacing w:before="423" w:beforeLines="100" w:after="317" w:afterLines="75" w:line="400" w:lineRule="exact"/>
      <w:ind w:firstLine="0" w:firstLineChars="0"/>
      <w:jc w:val="center"/>
      <w:outlineLvl w:val="0"/>
    </w:pPr>
    <w:rPr>
      <w:rFonts w:eastAsia="宋体"/>
      <w:b/>
      <w:bCs/>
      <w:kern w:val="36"/>
      <w:sz w:val="24"/>
      <w:szCs w:val="24"/>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annotation text"/>
    <w:basedOn w:val="1"/>
    <w:qFormat/>
    <w:uiPriority w:val="0"/>
    <w:pPr>
      <w:jc w:val="left"/>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默认段落字体11"/>
    <w:link w:val="1"/>
    <w:qFormat/>
    <w:uiPriority w:val="0"/>
  </w:style>
  <w:style w:type="table" w:customStyle="1" w:styleId="9">
    <w:name w:val="普通表格1"/>
    <w:semiHidden/>
    <w:qFormat/>
    <w:uiPriority w:val="0"/>
  </w:style>
  <w:style w:type="paragraph" w:customStyle="1" w:styleId="10">
    <w:name w:val="题注1"/>
    <w:basedOn w:val="1"/>
    <w:qFormat/>
    <w:uiPriority w:val="0"/>
    <w:pPr>
      <w:widowControl w:val="0"/>
      <w:suppressLineNumbers/>
      <w:suppressAutoHyphens/>
      <w:spacing w:before="120" w:after="120"/>
    </w:pPr>
    <w:rPr>
      <w:i/>
      <w:iCs/>
      <w:sz w:val="24"/>
      <w:szCs w:val="24"/>
    </w:rPr>
  </w:style>
  <w:style w:type="paragraph" w:customStyle="1" w:styleId="11">
    <w:name w:val="正文文本1"/>
    <w:basedOn w:val="1"/>
    <w:qFormat/>
    <w:uiPriority w:val="0"/>
    <w:pPr>
      <w:spacing w:before="0" w:after="140" w:line="276" w:lineRule="auto"/>
    </w:pPr>
  </w:style>
  <w:style w:type="paragraph" w:customStyle="1" w:styleId="12">
    <w:name w:val="页脚1"/>
    <w:basedOn w:val="1"/>
    <w:qFormat/>
    <w:uiPriority w:val="0"/>
    <w:pPr>
      <w:tabs>
        <w:tab w:val="center" w:pos="4153"/>
        <w:tab w:val="right" w:pos="8306"/>
      </w:tabs>
      <w:snapToGrid w:val="0"/>
      <w:jc w:val="left"/>
    </w:pPr>
    <w:rPr>
      <w:sz w:val="18"/>
    </w:rPr>
  </w:style>
  <w:style w:type="paragraph" w:customStyle="1" w:styleId="13">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4">
    <w:name w:val="列表1"/>
    <w:basedOn w:val="11"/>
    <w:qFormat/>
    <w:uiPriority w:val="0"/>
  </w:style>
  <w:style w:type="paragraph" w:customStyle="1" w:styleId="15">
    <w:name w:val="普通(网站)1"/>
    <w:basedOn w:val="1"/>
    <w:qFormat/>
    <w:uiPriority w:val="0"/>
    <w:pPr>
      <w:spacing w:before="100" w:beforeAutospacing="1" w:after="100" w:afterAutospacing="1"/>
      <w:ind w:left="0" w:right="0"/>
      <w:jc w:val="left"/>
    </w:pPr>
    <w:rPr>
      <w:kern w:val="0"/>
      <w:sz w:val="24"/>
      <w:lang w:val="en-US" w:eastAsia="zh-CN" w:bidi="ar"/>
    </w:rPr>
  </w:style>
  <w:style w:type="table" w:customStyle="1" w:styleId="16">
    <w:name w:val="网格型1"/>
    <w:basedOn w:val="9"/>
    <w:qFormat/>
    <w:uiPriority w:val="0"/>
    <w:pPr>
      <w:widowControl w:val="0"/>
      <w:jc w:val="both"/>
    </w:pPr>
  </w:style>
  <w:style w:type="character" w:customStyle="1" w:styleId="17">
    <w:name w:val="要点1"/>
    <w:basedOn w:val="8"/>
    <w:link w:val="1"/>
    <w:qFormat/>
    <w:uiPriority w:val="0"/>
    <w:rPr>
      <w:b/>
    </w:rPr>
  </w:style>
  <w:style w:type="character" w:customStyle="1" w:styleId="18">
    <w:name w:val="默认段落字体1"/>
    <w:link w:val="1"/>
    <w:qFormat/>
    <w:uiPriority w:val="0"/>
  </w:style>
  <w:style w:type="paragraph" w:customStyle="1" w:styleId="19">
    <w:name w:val="Heading"/>
    <w:basedOn w:val="1"/>
    <w:qFormat/>
    <w:uiPriority w:val="0"/>
    <w:pPr>
      <w:keepNext/>
      <w:widowControl w:val="0"/>
      <w:suppressAutoHyphens/>
      <w:spacing w:before="240" w:after="120"/>
    </w:pPr>
    <w:rPr>
      <w:rFonts w:ascii="Liberation Sans" w:hAnsi="Liberation Sans" w:eastAsia="Noto Sans CJK SC Regular"/>
      <w:sz w:val="28"/>
      <w:szCs w:val="28"/>
      <w:lang w:bidi="ar-SA"/>
    </w:rPr>
  </w:style>
  <w:style w:type="paragraph" w:customStyle="1" w:styleId="20">
    <w:name w:val="Index"/>
    <w:basedOn w:val="1"/>
    <w:qFormat/>
    <w:uiPriority w:val="0"/>
    <w:pPr>
      <w:widowControl w:val="0"/>
      <w:suppressLineNumbers/>
      <w:suppressAutoHyphens/>
    </w:pPr>
  </w:style>
  <w:style w:type="character" w:customStyle="1" w:styleId="21">
    <w:name w:val="sect2title1"/>
    <w:basedOn w:val="7"/>
    <w:qFormat/>
    <w:uiPriority w:val="0"/>
    <w:rPr>
      <w:rFonts w:hint="eastAsia" w:ascii="微软雅黑" w:hAnsi="微软雅黑" w:eastAsia="微软雅黑"/>
      <w:b/>
      <w:bCs/>
      <w:sz w:val="21"/>
      <w:szCs w:val="21"/>
    </w:rPr>
  </w:style>
  <w:style w:type="paragraph" w:customStyle="1" w:styleId="22">
    <w:name w:val="p"/>
    <w:basedOn w:val="1"/>
    <w:qFormat/>
    <w:uiPriority w:val="0"/>
    <w:pPr>
      <w:pBdr>
        <w:top w:val="none" w:color="auto" w:sz="0" w:space="0"/>
        <w:left w:val="none" w:color="auto" w:sz="0" w:space="0"/>
        <w:bottom w:val="none" w:color="auto" w:sz="0" w:space="0"/>
        <w:right w:val="none" w:color="auto" w:sz="0" w:space="0"/>
      </w:pBdr>
      <w:textAlignment w:val="baseline"/>
    </w:pPr>
    <w:rPr>
      <w:sz w:val="24"/>
      <w:szCs w:val="24"/>
      <w:vertAlign w:val="baseline"/>
    </w:rPr>
  </w:style>
  <w:style w:type="character" w:customStyle="1" w:styleId="23">
    <w:name w:val="fulltext-wrap_navtiao"/>
    <w:basedOn w:val="7"/>
    <w:qFormat/>
    <w:uiPriority w:val="0"/>
    <w:rPr>
      <w:b/>
      <w:bCs/>
    </w:rPr>
  </w:style>
  <w:style w:type="character" w:customStyle="1" w:styleId="24">
    <w:name w:val="fulltext-wrap_fulltext_a"/>
    <w:basedOn w:val="7"/>
    <w:qFormat/>
    <w:uiPriority w:val="0"/>
    <w:rPr>
      <w:color w:val="218FC4"/>
    </w:rPr>
  </w:style>
  <w:style w:type="paragraph" w:customStyle="1" w:styleId="25">
    <w:name w:val="fulltext-wrap_navzhang"/>
    <w:basedOn w:val="1"/>
    <w:qFormat/>
    <w:uiPriority w:val="0"/>
    <w:pPr>
      <w:spacing w:line="576" w:lineRule="auto"/>
    </w:pPr>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3430</Words>
  <Characters>3474</Characters>
  <Lines>0</Lines>
  <Paragraphs>0</Paragraphs>
  <TotalTime>71</TotalTime>
  <ScaleCrop>false</ScaleCrop>
  <LinksUpToDate>false</LinksUpToDate>
  <CharactersWithSpaces>3499</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2025-03-28T17:21:00Z</dcterms:created>
  <dc:creator>中联</dc:creator>
  <cp:lastModifiedBy>ysgz</cp:lastModifiedBy>
  <cp:lastPrinted>2025-04-12T01:02:00Z</cp:lastPrinted>
  <dcterms:modified xsi:type="dcterms:W3CDTF">2025-04-11T17:21:13Z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KSOTemplateDocerSaveRecord">
    <vt:lpwstr>eyJoZGlkIjoiNjE5ZWUwZmE0ZWE0Y2EyNGYyMzU2Yzk3NDM1MjU2OTQiLCJ1c2VySWQiOiIxMTI2MDA4NDA3In0=</vt:lpwstr>
  </property>
  <property fmtid="{D5CDD505-2E9C-101B-9397-08002B2CF9AE}" pid="4" name="ICV">
    <vt:lpwstr>F108C1955BA5400BB2BB09449631150F_13</vt:lpwstr>
  </property>
</Properties>
</file>