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left="109"/>
        <w:jc w:val="both"/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  <w:t>附件1</w:t>
      </w:r>
    </w:p>
    <w:p>
      <w:pPr>
        <w:overflowPunct w:val="0"/>
        <w:spacing w:beforeLines="0" w:afterLines="0" w:line="24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auto"/>
          <w:sz w:val="44"/>
          <w:lang w:val="en-US" w:eastAsia="zh-CN"/>
        </w:rPr>
        <w:t>贵州省能源行业专家推荐表</w:t>
      </w:r>
      <w:bookmarkEnd w:id="0"/>
    </w:p>
    <w:p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>工作或聘用单位（盖章）：                       年     月    日</w:t>
      </w:r>
    </w:p>
    <w:p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</w:p>
    <w:tbl>
      <w:tblPr>
        <w:tblStyle w:val="6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57"/>
        <w:gridCol w:w="363"/>
        <w:gridCol w:w="1320"/>
        <w:gridCol w:w="800"/>
        <w:gridCol w:w="520"/>
        <w:gridCol w:w="992"/>
        <w:gridCol w:w="1444"/>
        <w:gridCol w:w="381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出生年月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二寸免冠相片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01" w:rightChars="-48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工作单位及职务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政治面貌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20" w:rightChars="-5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毕业院校及专业*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学历学位*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身份证号*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健康状况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联系方式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邮箱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通信地址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专业技术资格及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取得时间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left="5" w:leftChars="-25" w:right="-101" w:rightChars="-48" w:hanging="58" w:hangingChars="21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职称等级*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01" w:rightChars="-48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现从事专业及年限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20" w:rightChars="-5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主要领域（可多选）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1、传统能源领域：化石能源深度勘探开发□化石能源清洁高效利用□清洁燃料加工转化□清洁燃煤发电□等。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2、新能源和可再生能源领域：太阳能□生物质能□地热能□空气能□海洋能□风能等深度开发利用□高比例可再生能源并网与传输□储能□“互联网+智慧能源”□微电网等。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3、战略性能源领域：核能□高清洁、高能量密度特种油品□氢能与燃料电池□超导输电□天然气水合物□深海与非常规油气□等。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4、能源基础材料领域：高温材料□电池材料□催化剂材料□新型电力电子器件□等。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5、能源安全领域□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6、能源经济领域□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7、煤矿智能化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煤矿“三废”综合利用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□</w:t>
            </w:r>
          </w:p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、其他领域：煤制燃料□炼油□能源行业能源节约和科技进步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能源领域“碳达峰、碳中和”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20" w:rightChars="-5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从事行业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（可多填，按照擅长程序推荐）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20" w:rightChars="-5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主要学习和工作经历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5" w:rightChars="-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社会兼职情况（含参加评审组织，社会团体等）。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5" w:rightChars="-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主要著作、论文、研究报告、获奖情况、承担课题项目等*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-15" w:rightChars="-7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有无重大政治历史问题</w:t>
            </w:r>
          </w:p>
        </w:tc>
        <w:tc>
          <w:tcPr>
            <w:tcW w:w="7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</w:tbl>
    <w:p>
      <w:pPr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>注：带*的须提供相关证明材料，退休的须提供相关证明。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379AD"/>
    <w:rsid w:val="6A937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2022-02-16T07:28:00Z</dcterms:created>
  <dc:creator>lenovo</dc:creator>
  <cp:lastModifiedBy>lenovo</cp:lastModifiedBy>
  <dcterms:modified xsi:type="dcterms:W3CDTF">2022-02-16T07:28:38Z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