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附件:</w:t>
      </w:r>
    </w:p>
    <w:p>
      <w:pPr>
        <w:ind w:firstLine="616" w:firstLineChars="200"/>
        <w:jc w:val="center"/>
        <w:rPr>
          <w:rFonts w:ascii="方正小标宋_GBK" w:hAnsi="方正小标宋_GBK" w:eastAsia="方正小标宋_GBK" w:cs="方正小标宋_GBK"/>
          <w:color w:val="auto"/>
          <w:kern w:val="0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Cs w:val="32"/>
        </w:rPr>
        <w:t>贵州矿安科技有限公司安全生产检测检验机构信息公开表</w:t>
      </w:r>
    </w:p>
    <w:tbl>
      <w:tblPr>
        <w:tblStyle w:val="10"/>
        <w:tblW w:w="906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615"/>
        <w:gridCol w:w="675"/>
        <w:gridCol w:w="381"/>
        <w:gridCol w:w="259"/>
        <w:gridCol w:w="1784"/>
        <w:gridCol w:w="1845"/>
        <w:gridCol w:w="1117"/>
        <w:gridCol w:w="92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6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贵州矿安科技有限公司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35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统一社会信用代码/注册号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91520198MAAL2MHM3W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贵州省贵阳市贵阳国家高新技术产业开发区沙文镇贵州科学城A3栋14层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550002</w:t>
            </w:r>
          </w:p>
        </w:tc>
      </w:tr>
      <w:tr>
        <w:tblPrEx>
          <w:shd w:val="clear" w:color="auto" w:fill="FFFFFF"/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贵州省毕节市金沙县岩孔街道玉山路中段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551800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六盘水市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盘州市红果经济开发区两河新区50米路与东西二号路交叉口盘州数字大厦十层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3537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贵州省遵义市习水县杉王街道木楠村新一中体育场西侧门面6-9#门面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564660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exact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实验室地址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贵阳市贵阳国家高新技术产业开发区沙文镇贵州科学城A3栋14层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shd w:val="clear" w:color="auto" w:fill="FFFFFF"/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贵州省毕节市金沙县岩孔街道玉山路中段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551800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六盘水市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盘州市红果经济开发区两河新区50米路与东西二号路交叉口盘州数字大厦十层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3537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贵州省遵义市习水县杉王街道木楠村新一中体育场西侧门面6-9#门面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564660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机构信息公开网址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www.gzkakj.com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郑连军</w:t>
            </w:r>
          </w:p>
        </w:tc>
      </w:tr>
      <w:tr>
        <w:tblPrEx>
          <w:shd w:val="clear" w:color="auto" w:fill="FFFFFF"/>
        </w:tblPrEx>
        <w:trPr>
          <w:cantSplit/>
          <w:trHeight w:val="525" w:hRule="atLeast"/>
          <w:jc w:val="center"/>
        </w:trPr>
        <w:tc>
          <w:tcPr>
            <w:tcW w:w="2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机构联系人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郑连军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18275296713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主持检测检验工作负责人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郑连军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毋菊梅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资质证书编号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黔 煤监 2301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2023年01月05日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2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资质证书批准部门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贵州省能源局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有效日期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2028年01月04日</w:t>
            </w:r>
          </w:p>
        </w:tc>
      </w:tr>
      <w:tr>
        <w:tblPrEx>
          <w:shd w:val="clear" w:color="auto" w:fill="FFFFFF"/>
        </w:tblPrEx>
        <w:trPr>
          <w:cantSplit/>
          <w:trHeight w:val="540" w:hRule="atLeast"/>
          <w:jc w:val="center"/>
        </w:trPr>
        <w:tc>
          <w:tcPr>
            <w:tcW w:w="9061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贵州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矿安科技有限公司【贵阳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restart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15" w:type="dxa"/>
            <w:vMerge w:val="restart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产品/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产品类别</w:t>
            </w:r>
          </w:p>
        </w:tc>
        <w:tc>
          <w:tcPr>
            <w:tcW w:w="3099" w:type="dxa"/>
            <w:gridSpan w:val="4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项目/参数</w:t>
            </w:r>
          </w:p>
        </w:tc>
        <w:tc>
          <w:tcPr>
            <w:tcW w:w="1845" w:type="dxa"/>
            <w:vMerge w:val="restart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依据标准（方法）名称及编号（含年号）</w:t>
            </w:r>
          </w:p>
        </w:tc>
        <w:tc>
          <w:tcPr>
            <w:tcW w:w="1209" w:type="dxa"/>
            <w:gridSpan w:val="2"/>
            <w:vMerge w:val="restart"/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限制范围</w:t>
            </w:r>
          </w:p>
        </w:tc>
        <w:tc>
          <w:tcPr>
            <w:tcW w:w="690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24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845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摩擦式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提升机系统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1208—2023《煤矿在用产品安全检测检验规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摩擦式提升机系统》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文件和资料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机房或硐室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井架、井口与井底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电气安全性能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缠绕式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提升机系统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1207—2023《煤矿在用产品安全检测检验规范缠绕式提升机系统》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文件资料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机房或硐室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井架、井口及井底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提升装置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电气安全系统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防坠器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检查性检验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NB/T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10050-2018《煤矿在用竖井提升系统防坠器检测检验规范》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不脱钩试验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空载脱钩试验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重载脱钩试验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脱钩试验后的恢复检查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辅助绞车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照明装置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 20180-2006《矿用辅助绞车 安全要求》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操作位置及要求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运转情况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密封性能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主轴和卷筒缺陷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挡绳板边缘高度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钢丝绳在滚筒上固定情况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总停开关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工作制动器及安全制动器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接触面积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闸瓦(带)与制动轮完好性及表面检查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闸瓦(带)表面距固定螺栓头或铆钉头端部距离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制动力矩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操纵机构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手动操纵机构手把上的作用力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气动绞车的脚踏操纵力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气动绞车手柄(脚踏板)移动行程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深度指示器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矿用钢丝绳(缆)（在线无损检测）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钢丝绳局部损伤（LF）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970-2005《钢丝绳(缆)在线无损定量检测方法和判定规则》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GB/T 21837-20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《铁磁性钢丝绳电磁检测方法》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钢丝绳金属横截面积损失（LMA）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20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钢锻件（轴类）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单个不连续缺陷（当量平底孔直径）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GB/T 6402-20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《钢锻件超声检测方法》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20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超声波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探伤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密集形不连续缺陷（当量平底孔直径）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通风机叶片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非线状（簇状）缺陷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JB/T 9218-2015《无损检测渗透检测方法》</w:t>
            </w:r>
          </w:p>
        </w:tc>
        <w:tc>
          <w:tcPr>
            <w:tcW w:w="120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渗透探伤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线状缺陷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点线状缺陷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罐笼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 16542-2010《罐笼安全技术要求》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罐体要求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悬挂装置要求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只检4.3.1、4.3.6、4.3.8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导向装置要求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只检4.4.1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提升绞车系统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1206—2023《煤矿在用产品安全检测检验规范 提升绞车系统》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文件资料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机房或硐室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井架、井口及井底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电气安全性能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无极绳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连续牵引车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工作环境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988—2006《无极绳连续牵引车》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安全保护性能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无轨胶轮车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NB/T10756-2021《煤矿在用无轨胶轮车安全检测检验规范》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操作灵敏性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消防装置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离地最小间隙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定期检测不做该项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常温启动性能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最小通过能力半径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运行速度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定期检测不做该项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制动距离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坡道上的停车制动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爬坡能力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照明及信号灯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警声装置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噪音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防爆柴油机尾气中一氧化碳浓度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防爆柴油机尾气中氮氧化物浓度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主要通风机系统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MT/T1205-2023《煤矿在用产品安全检测检验规范主要通风机系统》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安装及配置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喘振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风量、压力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通风机运行效率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电动机运行功率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振动速度有效值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电动机轴承、定子温度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电动机冷态绝缘电阻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接地电阻值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叶片与机壳(或保护圈)的间隙值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局部通风机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MT/T222-2019《煤矿用局部通风机技术条件》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GB/T10178-2006《工业通风机 现场性能试验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只检MT/T 222-2019《煤矿用局部通风机技术条件》6.1.9、6.3.3、6.3.4、6.3.6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安全结构和措施检查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安全证件审查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只检安标证书、防爆合格证、摩擦火花合格证审查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电动机绕组冷态绝缘电阻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电动机最大输出功率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只检运行工况点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压入式（抽出式）通风机叶轮间隙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机械运转试验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通风机流量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只按GB/T10178-2006检运行工况点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压力或静压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77" w:leftChars="-25" w:right="-123" w:rightChars="-4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只按GB/T10178-2006检运行工况点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振动速度有效值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空气压缩机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MT/T1203—2023《煤矿在用产品安全检测检验规范 空气压缩机》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文件资料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安装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安全保护及辅助装置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润滑油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煤矿用隔爆型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潜水电泵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证件检查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MT/T671-2005《煤矿用隔爆型潜水电泵》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保护装置检查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接地标志的检查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电泵电缆长度检验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电泵的起动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电泵的输入功率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电泵的流量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主排水系统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MT/T1204-2023 《煤矿在用产品安全检测检验规范 主排水系统》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文件资料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系统配置与安装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主排水泵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接地电阻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煤矿在用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带式输送机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NB/T10753-2021《煤矿在用带式输送机安全检测检验规范》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防护装置和警示标志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带速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功率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加速度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运行平稳性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输送带运行状态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制动装置和逆止装置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防撕裂保护装置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沿线紧急停车装置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防跑偏保护装置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防超速保护装置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驱动滚筒防打滑保护装置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堆煤保护装置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烟雾保护装置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温度监测、自动洒水装置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张紧力下降保护装置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软启动装置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张紧装置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液压元件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清扫器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液力耦合器传动介质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监控系统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AQ 6201-2019《煤矿安全监控系统通用技术要求》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环境条件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供电电源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系统设计要求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软件功能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主要技术指标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防爆性能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煤矿用隔爆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水袋、水槽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MT/T157-1996《煤矿用隔爆水槽和隔爆水袋通用技术条件》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煤矿井下用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聚乙烯管材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MT/T558.1-2005《煤矿井下用塑料管材》第1部分:聚乙烯管材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ind w:firstLine="594" w:firstLineChars="3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托辊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MT821-2006《煤矿用带式输送机托辊技术条件》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隔绝式压缩氧气自救器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GB 24502-2023《煤矿用自救器》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气密性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瓦斯抽放用热导式高浓度甲烷传感器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AQ 6204-2006《瓦斯抽放用热导式高浓度甲烷传感器》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光信号除外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常态下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管道瓦斯抽放综合参数测定仪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642-1996《管道瓦斯抽放综合参数测定仪技术条件》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压力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煤矿用硫化氢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检测报警仪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MT/T1084-2008《煤矿用硫化氢检测报警仪》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作业场所环境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气体检测报警仪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GB12358-20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《作业场所环境气体检测报警仪通用技术要求》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检测误差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报警误差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带式输送机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证件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 820-2006《煤矿用带式输送机技术条件》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滚筒托辊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输送带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保护装置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整机性能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无极绳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调速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绞车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工作条件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AQ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1041-2007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《煤矿用无极绳调速机械绞车安全检验规范》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操纵性能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使用性能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安全防护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煤矿在用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瓦斯抽放泵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（水环式真空泵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证件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13929-20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《水环真空泵和水环压缩机试验方法》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《水环真空泵和水环压缩机气量测定方法》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气量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真空度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环境空气温度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轴功率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煤矿在用窄轨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车辆连接链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AQ 1112-2014《煤矿在用窄轨车辆连接链检验规范》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煤矿在用窄轨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车辆连接插销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1113-2014《煤矿在用窄轨车辆连接插销检验规范》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煤矿重要用途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钢丝绳直径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716-2019《煤矿重要用途钢丝绳验收技术条件》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MT/T 717-2019《煤矿重要用途在用钢丝绳性能测定方法及判定规则》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不松散性检查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钢丝直径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钢丝破断拉力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钢丝反复弯曲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钢丝扭转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仅新绳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钢丝绳中钢丝破断拉力总和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不合格钢丝断面积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2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单轨吊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NB/T10176-2019《煤矿在用单轨吊车安全性能检测检验规范》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照明、信号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通信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配套设施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防爆蓄电池电机车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一般要求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NB/T 10049-2018《煤矿在用电机车检测检验规范》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制动性能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安全保护装置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机械部件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电气部件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煤矿用织物芯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阻燃输送带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914-2019《煤矿用织物芯阻燃输送带》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宽度极限偏差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覆盖层厚度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表面电阻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滚筒摩擦试验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喷灯燃烧试验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668-2019《煤矿用钢丝绳芯阻燃输送带》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宽度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覆盖层厚度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表面电阻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滚筒摩擦试验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酒精喷灯燃烧试验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阻燃线缆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单根电线电缆垂直燃烧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386-2011《煤矿用电缆阻燃性能的试验方法和判定规则》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负载条件下的燃烧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聚合物制品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阻燃性试验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 113-1995 《煤矿井下用聚合物制品阻燃抗静电性通用试验方法和判定规则》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便携式载体催化甲烷检测报警仪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6207-2007《便携式载体催化甲烷检测报警仪》</w:t>
            </w: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光干涉式甲烷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28-2005 《光干涉式甲烷测定器》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干涉条纹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气密性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自由跌落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携带型电化学式氧气测定器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704-2008《煤矿用携带型电化学式氧气测定器》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电化学式一氧化碳传感器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6205-2006《煤矿用电化学式一氧化碳传感器》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断电保护措施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携带型电化学式一氧化碳测定器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703-2008《煤矿用携带型电化学式一氧化碳测定器》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外观与结构要求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1052-2008《矿用二氧化碳传感器通用技术条件》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低浓度载体催化式甲烷传感器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6203-2006《煤矿用低浓度载体催化式甲烷传感器》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高低浓度甲烷传感器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6206-2006《煤矿用高低浓度甲烷传感器》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转换点附加误差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非色散红外甲烷传感器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外观、结构及气室防护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KA/T 6211-2008《煤矿用非色散红外甲烷传感器》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最小分辨率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不做光信号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温度传感器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381-2007《煤矿用温度传感器通用技术条件》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电化学式氧气传感器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447-1995《煤矿用电化学式氧气传感器技术条件》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警报功能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差压传感器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393-1995《矿用差压传感器通用技术条件》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回程误差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密封性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过载性能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电源波动性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烟雾传感器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382-2011《矿用烟雾传感器通用技术条件》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主要技术参数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198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水位传感器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825-1999《矿用水位传感器通用技术条件》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只做频率型</w:t>
            </w: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跑车防护装置</w:t>
            </w:r>
          </w:p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组成及设计检查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GB 43068-2023《煤矿用跑车防护装置安全技术要求》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装置总装检查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功能检查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监控传感器灵敏度试验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钢丝绳检查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挡车栏荧光标志检查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收放机构负荷试验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安装使用说明书检查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标牌检查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双速多用绞车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外观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质量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绞车底座安装条件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952-2005《双速多用绞车》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涂漆质量要求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涂漆颜色要求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2.2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空负荷试验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运行状况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密封检查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噪声检查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变速装置灵活性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紧固件检查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2.3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负荷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试验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电动机功率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油温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2.4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超负荷试验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运行状况检查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紧固连接件检查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38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基本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参数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绳速测定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2.6</w:t>
            </w:r>
          </w:p>
        </w:tc>
        <w:tc>
          <w:tcPr>
            <w:tcW w:w="38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安全保护性能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JSD型和JSDB工作制动和安全制动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JSH型和JSHB型自锁能力检查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挡绳板边缘高度测量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制动系统灵活性、制动力矩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安全防护检查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接触面积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钢丝绳安装状况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手柄绝缘防滑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滚筒表面要求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手把操纵力测定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restart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38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绞车成套供应范围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成套设备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说明书与电气设备适配性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随机工具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随机文件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jc w:val="left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电动葫芦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3.1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材料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JB/T 10222-2011《防爆电动葫芦》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电气防爆要求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3.3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机械防爆要求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left="-77" w:leftChars="-25" w:right="-77" w:rightChars="-25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3.4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防爆葫芦标志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起重机（限井下）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技术资料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TSG 51-2023《起重机械安全技术规程》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只检C2.2.8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附设装置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只检C3.4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设备检查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只检C3.5.3、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C3.7.3(1) (3)、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C3.7.4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C3.8.1(1)、（2）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C3.11.1(2)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C3.11.8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C3.11.9.5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C3.11.9.6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C3.11.9.8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C3.12.3.3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C3.14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性能试验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C4.2.2.1、2、3、4、5.1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井下人员定位系统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一般要求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AQ 1119-2023《煤矿井下人员定位系统通用技术条件》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环境条件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供电电源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系统组成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主要功能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主要技术指标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只检5.6.1、5.6.4、5.6.8、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5.6.10、5.6.12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架空乘人装置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一般要求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 10755-2021《煤矿在用架空乘人装置定期安全检测检验规范》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安全间距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运行速度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空载运行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负载运行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钢丝绳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钢丝绳导向装置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制动装置性能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托轮性能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抱索器安全系数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抱索器运行性能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吊椅安全系数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吊椅运行性能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尾轮预张紧力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张紧装置运行性能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液压系统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安全防护装置配置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定期检测不检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7.18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安全防护装置性能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卡轨人车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车厢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 11537-2024《煤矿在用卡轨人车检测检验规范》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开动机构和限速装置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联接装置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卡轨装置和制动装置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平道闭锁装置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信号装置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静止落闸试验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空行程时间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实际最大运行速度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全速落闸试验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5.11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运行稳定性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5.12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制动力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5.13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液压系统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悬臂式掘进机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10.1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基本参数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238.3-2006《悬臂式掘进机第3部分通用技术条件》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只检4.1.5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10.2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基本结构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只检4.2.1、4.2.2、4.2.3、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4.2.5、4.2.6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10.3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安全防护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不检4.4.1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10.4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使用性能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不检4.5.2、4.5.8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4.5.13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气动单轨吊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环境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NB/T11525-2024《气动、电动调度单轨吊车技术条件》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外观质量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基本要求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通过能力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牵引力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制动力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最大运行速度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制动距离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爬坡能力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噪声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11.11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电路绝缘电阻试验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防爆柴油机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系统配置要求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MT990-2006《矿用防爆柴油机通用技术条件》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隔爆结合面尺寸及要求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空气关断阀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表面温度测试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排气温度测试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废气成分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自动保护装置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12.8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常温启动性能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平巷人车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13.1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整机要求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 389-2007《煤矿用平巷人车技术条件》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13.2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主要部件要求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4.3.1、4.3.3不检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13.3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设计要求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4.5.10、4.5.11、4.5.12不检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防爆高压真空配电装置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外观及内部联接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 10179-2019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《煤矿在用高压开关设备电气试验规范》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主回路绝缘电阻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辅助回路和控制回路绝缘电阻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导电回路电阻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操作控制电压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断路器的合闸时间、分闸时间和分合闸同期性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主回路交流耐压试验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电压48V以上辅助回路和控制回路交流耐压试验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防止误操作功能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电压抽取（带电显示）装置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灭弧室密封性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电流互感器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电压互感器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14.14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继电保护动作定值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防爆干式变压器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外观、证件检查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NB/T10177-2019《煤矿在用电力变压器电气安全检测检验规范》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绕组绝缘电阻和吸收比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有载调压装置的检查和试验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绕组直流电阻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测温装置检查及二次回路绝缘电阻测量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铁芯绝缘电阻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电压比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组别和极性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绕组连同套管的交流耐压试验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检查相位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15.11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冲击合闸试验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限新安装及交接验收试验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圆环链用开口式连接环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17.1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表面质量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415-1995《矿用圆环链用开口式连接环检验规范》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17.2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试验负荷下最大伸长率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限试验负荷600kN及以下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高强度圆环链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18.1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表面质量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522-2004《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instrText xml:space="preserve"> HYPERLINK "javascript:;" </w:instrTex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矿用高强度圆环链检验规范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18.2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试验负荷下伸长率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限试验负荷600kN及以下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圆环链用扁平接链环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19.1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表面质量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463-1995《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instrText xml:space="preserve"> HYPERLINK "javascript:;" </w:instrTex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矿用圆环链用扁平接链环检验规范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19.2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试验负荷下伸长率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限试验负荷600kN及以下</w:t>
            </w: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井下用塑料编织袋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20.1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阻燃性能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1125—2011《煤矿井下用塑料编织袋》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20.2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井下用橡胶管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21.1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阻燃性能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191-1989《煤矿井下用橡胶管安全性能检验规范》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exact"/>
          <w:jc w:val="center"/>
        </w:trPr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井下用聚氯乙烯抽放瓦斯管材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22.1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酒精喷灯燃烧试验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558.2-2005《煤矿井下用塑料管材第2部分聚氯乙烯管材》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隔爆水袋涂覆布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23.1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阻燃性能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956-2005《煤矿用隔爆水袋涂覆布》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23.2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表面电阻（抗静电性能）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涂覆布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24.1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阻燃性能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GB/T 20105-2006《风筒涂覆布》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MT/T 164-2019《矿用涂覆布 风筒通用技术条件》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24.2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表面电阻（抗静电性能）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161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反应型高分子材料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26.1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液体组分闪点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KA/T1089-2020《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instrText xml:space="preserve"> HYPERLINK "javascript:;" </w:instrTex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煤矿加固煤岩体用高分子材料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26.2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阻燃性能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61" w:type="dxa"/>
            <w:gridSpan w:val="10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贵州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矿安科技有限公司【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金沙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煤矿用织物芯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阻燃输送带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MT/T914-2019《煤矿用织物芯阻燃输送带》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宽度极限偏差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覆盖层厚度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滚筒摩擦性能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喷灯燃烧性能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MT/T668-2019《煤矿用钢丝绳芯阻燃输送带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宽度极限偏差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覆盖层厚度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限使用前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滚筒摩擦性能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喷灯燃烧性能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涂覆布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酒精喷灯燃烧试验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GB/T20105-2006《风筒涂覆布》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酒精灯燃烧试验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聚合物制品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阻燃性试验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MT113-1995 《煤矿井下用聚合物制品阻燃抗静电性通用试验方法和判定规则》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便携式载体催化甲烷检测报警仪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AQ6207-2007《便携式载体催化甲烷检测报警仪》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光干涉式甲烷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MT/T28-2005《光干涉式甲烷测定器》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干涉条纹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气密性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自由跌落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携带型电化学式氧气测定器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704-2008《煤矿用携带型电化学式氧气测定器》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电化学式一氧化碳传感器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6205-2006《煤矿用电化学式一氧化碳传感器》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断电保护措施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携带型电化学式一氧化碳测定器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703-2008《煤矿用携带型电化学式一氧化碳测定器》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外观与结构要求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1052-2008《矿用二氧化碳传感器通用技术条件》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低浓度载体催化式甲烷传感器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6203-2006《煤矿用低浓度载体催化式甲烷传感器》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高低浓度甲烷传感器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6206-2006《煤矿用高低浓度甲烷传感器》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转换点附加误差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非色散红外甲烷传感器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外观、结构及气室防护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KA/T 6211-2008《煤矿用非色散红外甲烷传感器》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最小分辨率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温度传感器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381-2007《煤矿用温度传感器通用技术条件》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电化学式氧气传感器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447-1995《煤矿用电化学式氧气传感器技术条件》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警报功能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差压传感器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393-1995《矿用差压传感器通用技术条件》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回程误差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密封性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过载性能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电源波动性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水位传感器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825-1999《矿用水位传感器通用技术条件》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煤矿用隔爆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水袋、水槽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MT/T157-1996《煤矿用隔爆水槽和隔爆水袋通用技术条件》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煤矿井下用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聚乙烯管材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558.1-2005《煤矿井下用塑料管材第1部分:聚乙烯管材》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托辊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阻燃性能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MT821-2006《煤矿用带式输送机托辊技术条件》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抗静电性能（表面电阻值）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瓦斯抽放用热导式高浓度甲烷传感器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6204-2006《瓦斯抽放用热导式高浓度甲烷传感器》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管道瓦斯抽放综合参数测定仪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642-1996《管道瓦斯抽放综合参数测定仪技术条件》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硫化氢检测报警仪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MT/T1084-2008《煤矿用硫化氢检测报警仪》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作业场所环境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气体检测报警仪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GB 12358-2024《作业场所环境气体检测报警仪通用技术要求》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检测误差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煤矿用风速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功能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MT/T448-2008《矿用风速传感器》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风速表（不含机械式风表）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外观和运动零、部件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MT/T380-2007《煤矿用风速表》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起动风速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风速测量范围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风速基本误差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计时误差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煤矿用粉尘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浓度传感器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MT/T1102-2009《煤矿用粉尘浓度传感器》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零位稳定性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最大启动电流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工作噪声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粉尘采样器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GB/T20964-2007《粉尘采样器》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工作噪声测定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采样头气密性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采样时间误差测定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直读式粉尘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浓度测量仪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163-2019《直读式粉尘浓度测量仪通用技术条件》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测量相对误差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61" w:type="dxa"/>
            <w:gridSpan w:val="10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贵州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矿安科技有限公司【盘州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便携式载体催化甲烷检测报警仪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6207-2007《便携式载体催化甲烷检测报警仪》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光干涉式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甲烷测定器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28-2005 《光干涉式甲烷测定器》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干涉条纹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气密性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自由跌落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携带型电化学式氧气测定器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704-2008《煤矿用携带型电化学式氧气测定器》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电化学式一氧化碳传感器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6205-2006《煤矿用电化学式一氧化碳传感器》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断电保护措施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携带型电化学式一氧化碳测定器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703-2008《煤矿用携带型电化学式一氧化碳测定器》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二氧化碳传感器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外观与结构要求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1052-2008《矿用二氧化碳传感器通用技术条件》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低浓度载体催化式甲烷传感器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6203-2006《煤矿用低浓度载体催化式甲烷传感器》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高低浓度甲烷传感器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6206-2006《煤矿用高低浓度甲烷传感器》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转换点附加误差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非色散红外甲烷传感器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外观、结构及气室防护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KA/T 6211-2008《煤矿用非色散红外甲烷传感器》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最小分辨率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温度传感器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381-2007《煤矿用温度传感器通用技术条件》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电化学式氧气传感器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447-1995《煤矿用电化学式氧气传感器技术条件》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警报功能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差压传感器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393-1995《矿用差压传感器通用技术条件》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回程误差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密封性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过载性能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电源波动性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烟雾传感器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382-2011《矿用烟雾传感器通用技术条件》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主要技术参数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水位传感器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825-1999《矿用水位传感器通用技术条件》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压力型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瓦斯抽放用热导式高浓度甲烷传感器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AQ 6204-2006《瓦斯抽放用热导式高浓度甲烷传感器》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管道瓦斯抽放综合参数测定仪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 642-1996《管道瓦斯抽放综合参数测定仪技术条件》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硫化氢检测报警仪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MT/T1084-2008《煤矿用硫化氢检测报警仪》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作业场所环境气体检测报警仪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GB 12358-2024《作业场所环境气体检测报警仪通用技术要求》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检测误差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报警误差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常态下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61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贵州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矿安科技有限公司【习水</w:t>
            </w: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eastAsia="zh-CN" w:bidi="ar"/>
              </w:rPr>
              <w:t>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便携式载体催化甲烷检测报警仪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6207-2007《便携式载体催化甲烷检测报警仪》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电源及充电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光干涉式甲烷测定器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28-2005 《光干涉式甲烷测定器》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干涉条纹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气密性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自由跌落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携带型电化学式氧气测定器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704-2008《煤矿用携带型电化学式氧气测定器》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电化学式一氧化碳传感器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6205-2006《煤矿用电化学式一氧化碳传感器》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断电保护措施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4.10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携带型电化学式一氧化碳测定器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703-2008《煤矿用携带型电化学式一氧化碳测定器》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电源及充电功能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基本误差和零点漂移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二氧化碳传感器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外观与结构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1052-2008《矿用二氧化碳传感器通用技术条件》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低浓度载体催化式甲烷传感器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6203-2006《煤矿用低浓度载体催化式甲烷传感器》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高低浓度甲烷传感器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6206-2006《煤矿用高低浓度甲烷传感器》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转换点附加误差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3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8.10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非色散红外甲烷传感器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外观、结构及气室防护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KA/T 6211-2008《煤矿用非色散红外甲烷传感器》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最小分辨率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温度传感器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381-2007《煤矿用温度传感器通用技术条件》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工作电流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电化学式氧气传感器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11.1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447-1995《煤矿用电化学式氧气传感器技术条件》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11.2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11.4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警报功能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差压传感器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393-1995《矿用差压传感器通用技术条件》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回程误差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密封性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过载性能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电源波动性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烟雾传感器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13.1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382-2011《矿用烟雾传感器通用技术条件》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13.2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主要技术参数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13.3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13.4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水位传感器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825-1999《矿用水位传感器通用技术条件》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限频率型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瓦斯抽放用热导式高浓度甲烷传感器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AQ 6204-2006《瓦斯抽放用热导式高浓度甲烷传感器》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遥控调校功能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显示值稳定性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15.7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管道瓦斯抽放综合参数测定仪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16.1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 642-1996《管道瓦斯抽放综合参数测定仪技术条件》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16.2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硫化氢检测报警仪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MT/T1084-2008《煤矿用硫化氢检测报警仪》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基本误差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报警功能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光信号除外</w:t>
            </w: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17.6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工作位置变动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作业场所环境气体检测报警仪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18.1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外观及结构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GB 12358-2024《作业场所环境气体检测报警仪通用技术要求》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18.2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检测误差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18.3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报警误差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18.4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845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18.6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84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只做常态下</w:t>
            </w:r>
          </w:p>
        </w:tc>
        <w:tc>
          <w:tcPr>
            <w:tcW w:w="78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color w:val="auto"/>
          <w:spacing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20"/>
          <w:szCs w:val="32"/>
        </w:rPr>
        <w:br w:type="page"/>
      </w:r>
    </w:p>
    <w:p>
      <w:pPr>
        <w:pStyle w:val="7"/>
        <w:snapToGrid w:val="0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20"/>
          <w:szCs w:val="32"/>
        </w:rPr>
        <w:t>资 质 证 书</w:t>
      </w:r>
    </w:p>
    <w:p>
      <w:pPr>
        <w:pStyle w:val="7"/>
        <w:snapToGrid w:val="0"/>
        <w:jc w:val="center"/>
        <w:rPr>
          <w:rFonts w:hAnsi="宋体"/>
          <w:bCs/>
          <w:color w:val="auto"/>
          <w:szCs w:val="22"/>
        </w:rPr>
      </w:pPr>
      <w:r>
        <w:rPr>
          <w:rFonts w:hint="eastAsia" w:hAnsi="宋体"/>
          <w:bCs/>
          <w:color w:val="auto"/>
          <w:szCs w:val="22"/>
        </w:rPr>
        <w:t>授权签字人及授权签字领域</w:t>
      </w:r>
    </w:p>
    <w:p>
      <w:pPr>
        <w:pStyle w:val="7"/>
        <w:snapToGrid w:val="0"/>
        <w:ind w:left="24" w:leftChars="-200" w:hanging="640" w:hangingChars="200"/>
        <w:jc w:val="center"/>
        <w:rPr>
          <w:rFonts w:ascii="仿宋_GB2312" w:hAnsi="仿宋_GB2312" w:cs="仿宋_GB2312"/>
          <w:bCs/>
          <w:color w:val="auto"/>
          <w:spacing w:val="20"/>
          <w:sz w:val="28"/>
          <w:szCs w:val="28"/>
        </w:rPr>
      </w:pPr>
    </w:p>
    <w:p>
      <w:pPr>
        <w:pStyle w:val="7"/>
        <w:snapToGrid w:val="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机构名称：贵州矿安科技有限公司</w:t>
      </w:r>
    </w:p>
    <w:p>
      <w:pPr>
        <w:pStyle w:val="7"/>
        <w:snapToGrid w:val="0"/>
        <w:ind w:left="4752" w:hanging="4752" w:hangingChars="240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主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场所：贵州矿安科技有限公司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贵阳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 地址：贵州省贵阳市贵阳高新区沙文镇贵州科学城A3栋14层</w:t>
      </w:r>
    </w:p>
    <w:p>
      <w:pPr>
        <w:pStyle w:val="7"/>
        <w:snapToGrid w:val="0"/>
        <w:ind w:left="6336" w:hanging="6336" w:hangingChars="320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场所：贵州矿安科技有限公司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金沙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 地址：贵州省毕节市金沙县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岩孔街道玉山路中段</w:t>
      </w:r>
    </w:p>
    <w:p>
      <w:pPr>
        <w:pStyle w:val="7"/>
        <w:snapToGrid w:val="0"/>
        <w:ind w:left="4752" w:hanging="4752" w:hangingChars="240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场所：贵州矿安科技有限公司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盘州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地址：贵州省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六盘水市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盘州市红果经济开发区两河新区50米路与东西二号路交叉口盘州数字大厦十层</w:t>
      </w:r>
    </w:p>
    <w:p>
      <w:pPr>
        <w:pStyle w:val="7"/>
        <w:snapToGrid w:val="0"/>
        <w:ind w:left="4752" w:hanging="4752" w:hangingChars="240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场所：贵州矿安科技有限公司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习水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 地址：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贵州省遵义市习水县杉王街道木楠村新一中体育场西侧门面6-9#门面</w:t>
      </w:r>
    </w:p>
    <w:p>
      <w:pPr>
        <w:pStyle w:val="7"/>
        <w:snapToGrid w:val="0"/>
        <w:jc w:val="left"/>
        <w:rPr>
          <w:rFonts w:hint="eastAsia" w:ascii="仿宋" w:hAnsi="仿宋" w:eastAsia="仿宋" w:cs="仿宋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证书编号：黔 煤监 2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0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 xml:space="preserve">      有效期至：202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年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月</w:t>
      </w:r>
      <w:r>
        <w:rPr>
          <w:rFonts w:hint="eastAsia" w:ascii="仿宋" w:hAnsi="仿宋" w:eastAsia="仿宋" w:cs="仿宋"/>
          <w:bCs/>
          <w:color w:val="auto"/>
          <w:sz w:val="21"/>
          <w:szCs w:val="21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auto"/>
          <w:sz w:val="21"/>
          <w:szCs w:val="21"/>
        </w:rPr>
        <w:t>日</w:t>
      </w:r>
    </w:p>
    <w:tbl>
      <w:tblPr>
        <w:tblStyle w:val="10"/>
        <w:tblW w:w="8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77"/>
        <w:gridCol w:w="895"/>
        <w:gridCol w:w="1478"/>
        <w:gridCol w:w="2366"/>
        <w:gridCol w:w="6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授权签字人姓名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授权签字领域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郑连军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授权项目除无损探伤外全领域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何从学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毋菊梅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韩中标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万金笔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项目仪器仪表领域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陈思洋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授权项目除无损探伤外全领域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张青洪</w:t>
            </w:r>
          </w:p>
        </w:tc>
        <w:tc>
          <w:tcPr>
            <w:tcW w:w="3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授权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金属、非金属材料和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仪器仪表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0" w:hRule="atLeast"/>
        </w:trPr>
        <w:tc>
          <w:tcPr>
            <w:tcW w:w="8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（以下空白）</w:t>
            </w:r>
          </w:p>
        </w:tc>
      </w:tr>
      <w:bookmarkEnd w:id="0"/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5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执法机关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Noto Music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CF56835"/>
    <w:rsid w:val="0810135C"/>
    <w:rsid w:val="0A596510"/>
    <w:rsid w:val="0AD6392F"/>
    <w:rsid w:val="0E9316DB"/>
    <w:rsid w:val="0FE6591E"/>
    <w:rsid w:val="18B638D4"/>
    <w:rsid w:val="195A4B32"/>
    <w:rsid w:val="19DC4C88"/>
    <w:rsid w:val="1A6A0C72"/>
    <w:rsid w:val="1BF7C314"/>
    <w:rsid w:val="1DA04055"/>
    <w:rsid w:val="2103305D"/>
    <w:rsid w:val="228B6162"/>
    <w:rsid w:val="2A5DE29B"/>
    <w:rsid w:val="2CAD4005"/>
    <w:rsid w:val="3771085B"/>
    <w:rsid w:val="384C042E"/>
    <w:rsid w:val="3BCB12A4"/>
    <w:rsid w:val="3BE622EF"/>
    <w:rsid w:val="3CEFCA88"/>
    <w:rsid w:val="3D396354"/>
    <w:rsid w:val="3FE34F09"/>
    <w:rsid w:val="4FBFF5BE"/>
    <w:rsid w:val="5131460E"/>
    <w:rsid w:val="561B5E79"/>
    <w:rsid w:val="56B17A94"/>
    <w:rsid w:val="5886561A"/>
    <w:rsid w:val="5CC72422"/>
    <w:rsid w:val="5CF56835"/>
    <w:rsid w:val="5DF737BD"/>
    <w:rsid w:val="5ECE75F5"/>
    <w:rsid w:val="5EFFD7DD"/>
    <w:rsid w:val="5FFE7643"/>
    <w:rsid w:val="5FFF01FD"/>
    <w:rsid w:val="5FFF71C6"/>
    <w:rsid w:val="604702B3"/>
    <w:rsid w:val="64EE6A36"/>
    <w:rsid w:val="66E3FE4C"/>
    <w:rsid w:val="67302E12"/>
    <w:rsid w:val="6D8C6ECA"/>
    <w:rsid w:val="6EAA371D"/>
    <w:rsid w:val="70675473"/>
    <w:rsid w:val="71155816"/>
    <w:rsid w:val="727E3F85"/>
    <w:rsid w:val="72EF381B"/>
    <w:rsid w:val="737DB5FC"/>
    <w:rsid w:val="73DFC69A"/>
    <w:rsid w:val="76BFBB9B"/>
    <w:rsid w:val="77614913"/>
    <w:rsid w:val="77FF0A43"/>
    <w:rsid w:val="787E7C64"/>
    <w:rsid w:val="7A7DD224"/>
    <w:rsid w:val="7B423A3E"/>
    <w:rsid w:val="7B9C07BD"/>
    <w:rsid w:val="7C4B4E2D"/>
    <w:rsid w:val="7D042D12"/>
    <w:rsid w:val="7D9F4DA8"/>
    <w:rsid w:val="7DF9D465"/>
    <w:rsid w:val="7DFDAFA2"/>
    <w:rsid w:val="7EDB60DB"/>
    <w:rsid w:val="7EE6706C"/>
    <w:rsid w:val="7F1B1711"/>
    <w:rsid w:val="8FFFB640"/>
    <w:rsid w:val="ABFFB4FA"/>
    <w:rsid w:val="AD7D7AD4"/>
    <w:rsid w:val="ADFB89F4"/>
    <w:rsid w:val="BBFF4CDF"/>
    <w:rsid w:val="BFE97AC5"/>
    <w:rsid w:val="C6FB0314"/>
    <w:rsid w:val="CA7BBC63"/>
    <w:rsid w:val="D7DFCD66"/>
    <w:rsid w:val="DDBB30F8"/>
    <w:rsid w:val="DF2D0A53"/>
    <w:rsid w:val="DF733BC1"/>
    <w:rsid w:val="DF7FD185"/>
    <w:rsid w:val="DFDF1EBE"/>
    <w:rsid w:val="E797608D"/>
    <w:rsid w:val="E9DF47EE"/>
    <w:rsid w:val="EBFF53C7"/>
    <w:rsid w:val="F3FF395A"/>
    <w:rsid w:val="FAEFAC2B"/>
    <w:rsid w:val="FDDA3EB6"/>
    <w:rsid w:val="FDEF2F8B"/>
    <w:rsid w:val="FDEF8DE4"/>
    <w:rsid w:val="FEC6F116"/>
    <w:rsid w:val="FFA1707F"/>
    <w:rsid w:val="FFABF3FC"/>
    <w:rsid w:val="FFDFAB3E"/>
    <w:rsid w:val="FFEB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9">
    <w:name w:val="Body Text First Indent 2"/>
    <w:basedOn w:val="6"/>
    <w:qFormat/>
    <w:uiPriority w:val="0"/>
    <w:pPr>
      <w:spacing w:after="0"/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样式 样式 样式 宋体 + 首行缩进:  2 字符 + 首行缩进:  2 字符"/>
    <w:basedOn w:val="1"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paragraph" w:customStyle="1" w:styleId="15">
    <w:name w:val="无间隔1"/>
    <w:basedOn w:val="16"/>
    <w:qFormat/>
    <w:uiPriority w:val="0"/>
    <w:rPr>
      <w:rFonts w:ascii="Calibri" w:hAnsi="Calibri"/>
    </w:rPr>
  </w:style>
  <w:style w:type="paragraph" w:customStyle="1" w:styleId="1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pPr>
      <w:spacing w:line="240" w:lineRule="auto"/>
    </w:pPr>
    <w:rPr>
      <w:rFonts w:ascii="宋体" w:hAnsi="宋体" w:eastAsia="宋体" w:cs="宋体"/>
      <w:spacing w:val="0"/>
      <w:sz w:val="17"/>
      <w:szCs w:val="1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5128</Words>
  <Characters>6063</Characters>
  <Lines>0</Lines>
  <Paragraphs>0</Paragraphs>
  <TotalTime>0</TotalTime>
  <ScaleCrop>false</ScaleCrop>
  <LinksUpToDate>false</LinksUpToDate>
  <CharactersWithSpaces>6125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2024-01-16T05:34:00Z</dcterms:created>
  <dc:creator>凡尘</dc:creator>
  <cp:lastModifiedBy>冯威然</cp:lastModifiedBy>
  <cp:lastPrinted>2024-04-03T09:21:00Z</cp:lastPrinted>
  <dcterms:modified xsi:type="dcterms:W3CDTF">2025-06-09T14:28:47Z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C993A289E59243CBA5DEFED1F484EB20_13</vt:lpwstr>
  </property>
  <property fmtid="{D5CDD505-2E9C-101B-9397-08002B2CF9AE}" pid="4" name="KSOTemplateDocerSaveRecord">
    <vt:lpwstr>eyJoZGlkIjoiNmI2YmY0MTY5OTJjMDhjODEwYTVjNTE0ZWJlNWFkNDQiLCJ1c2VySWQiOiIyOTc2MzUwNDIifQ==</vt:lpwstr>
  </property>
</Properties>
</file>