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72A25">
      <w:pPr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ascii="Times New Roman" w:hAnsi="Times New Roman" w:eastAsia="仿宋_GB2312"/>
          <w:sz w:val="32"/>
        </w:rPr>
        <w:t>2</w:t>
      </w:r>
    </w:p>
    <w:p w14:paraId="7D6D3863">
      <w:pPr>
        <w:jc w:val="center"/>
        <w:rPr>
          <w:rFonts w:ascii="Times New Roman" w:hAnsi="Times New Roman" w:eastAsia="黑体"/>
          <w:b/>
          <w:bCs/>
          <w:spacing w:val="-20"/>
          <w:sz w:val="48"/>
        </w:rPr>
      </w:pPr>
      <w:r>
        <w:rPr>
          <w:rFonts w:ascii="Times New Roman" w:hAnsi="Times New Roman" w:eastAsia="黑体"/>
          <w:b/>
          <w:bCs/>
          <w:spacing w:val="-20"/>
          <w:sz w:val="48"/>
        </w:rPr>
        <w:t>贵州省煤矿储能应急电源建设项目</w:t>
      </w:r>
    </w:p>
    <w:p w14:paraId="10893F14">
      <w:pPr>
        <w:jc w:val="center"/>
        <w:rPr>
          <w:rFonts w:ascii="Times New Roman" w:hAnsi="Times New Roman" w:eastAsia="黑体"/>
          <w:b/>
          <w:bCs/>
          <w:sz w:val="72"/>
        </w:rPr>
      </w:pPr>
      <w:bookmarkStart w:id="0" w:name="_GoBack"/>
      <w:bookmarkEnd w:id="0"/>
      <w:r>
        <w:rPr>
          <w:rFonts w:ascii="Times New Roman" w:hAnsi="Times New Roman" w:eastAsia="黑体"/>
          <w:b/>
          <w:bCs/>
          <w:sz w:val="72"/>
        </w:rPr>
        <w:t>奖</w:t>
      </w:r>
    </w:p>
    <w:p w14:paraId="1D00B4A4">
      <w:pPr>
        <w:jc w:val="center"/>
        <w:rPr>
          <w:rFonts w:ascii="Times New Roman" w:hAnsi="Times New Roman" w:eastAsia="黑体"/>
          <w:b/>
          <w:bCs/>
          <w:sz w:val="72"/>
        </w:rPr>
      </w:pPr>
      <w:r>
        <w:rPr>
          <w:rFonts w:ascii="Times New Roman" w:hAnsi="Times New Roman" w:eastAsia="黑体"/>
          <w:b/>
          <w:bCs/>
          <w:sz w:val="72"/>
        </w:rPr>
        <w:t>补</w:t>
      </w:r>
    </w:p>
    <w:p w14:paraId="414FDB21">
      <w:pPr>
        <w:jc w:val="center"/>
        <w:rPr>
          <w:rFonts w:ascii="Times New Roman" w:hAnsi="Times New Roman" w:eastAsia="黑体"/>
          <w:b/>
          <w:bCs/>
          <w:sz w:val="72"/>
        </w:rPr>
      </w:pPr>
      <w:r>
        <w:rPr>
          <w:rFonts w:ascii="Times New Roman" w:hAnsi="Times New Roman" w:eastAsia="黑体"/>
          <w:b/>
          <w:bCs/>
          <w:sz w:val="72"/>
        </w:rPr>
        <w:t>资</w:t>
      </w:r>
    </w:p>
    <w:p w14:paraId="37281E95">
      <w:pPr>
        <w:jc w:val="center"/>
        <w:rPr>
          <w:rFonts w:ascii="Times New Roman" w:hAnsi="Times New Roman" w:eastAsia="黑体"/>
          <w:b/>
          <w:bCs/>
          <w:sz w:val="72"/>
        </w:rPr>
      </w:pPr>
      <w:r>
        <w:rPr>
          <w:rFonts w:ascii="Times New Roman" w:hAnsi="Times New Roman" w:eastAsia="黑体"/>
          <w:b/>
          <w:bCs/>
          <w:sz w:val="72"/>
        </w:rPr>
        <w:t>金</w:t>
      </w:r>
    </w:p>
    <w:p w14:paraId="2F0C3372">
      <w:pPr>
        <w:jc w:val="center"/>
        <w:rPr>
          <w:rFonts w:ascii="Times New Roman" w:hAnsi="Times New Roman" w:eastAsia="黑体"/>
          <w:b/>
          <w:bCs/>
          <w:sz w:val="72"/>
        </w:rPr>
      </w:pPr>
      <w:r>
        <w:rPr>
          <w:rFonts w:ascii="Times New Roman" w:hAnsi="Times New Roman" w:eastAsia="黑体"/>
          <w:b/>
          <w:bCs/>
          <w:sz w:val="72"/>
        </w:rPr>
        <w:t>申</w:t>
      </w:r>
    </w:p>
    <w:p w14:paraId="54D71F17">
      <w:pPr>
        <w:jc w:val="center"/>
        <w:rPr>
          <w:rFonts w:ascii="Times New Roman" w:hAnsi="Times New Roman" w:eastAsia="黑体"/>
          <w:b/>
          <w:bCs/>
          <w:sz w:val="72"/>
        </w:rPr>
      </w:pPr>
      <w:r>
        <w:rPr>
          <w:rFonts w:ascii="Times New Roman" w:hAnsi="Times New Roman" w:eastAsia="黑体"/>
          <w:b/>
          <w:bCs/>
          <w:sz w:val="72"/>
        </w:rPr>
        <w:t>请</w:t>
      </w:r>
    </w:p>
    <w:p w14:paraId="03EFDAF6">
      <w:pPr>
        <w:jc w:val="center"/>
        <w:rPr>
          <w:rFonts w:ascii="Times New Roman" w:hAnsi="Times New Roman" w:eastAsia="黑体"/>
          <w:b/>
          <w:bCs/>
          <w:sz w:val="72"/>
        </w:rPr>
      </w:pPr>
      <w:r>
        <w:rPr>
          <w:rFonts w:ascii="Times New Roman" w:hAnsi="Times New Roman" w:eastAsia="黑体"/>
          <w:b/>
          <w:bCs/>
          <w:sz w:val="72"/>
        </w:rPr>
        <w:t>报</w:t>
      </w:r>
    </w:p>
    <w:p w14:paraId="22EEE0CE">
      <w:pPr>
        <w:jc w:val="center"/>
        <w:rPr>
          <w:rFonts w:ascii="Times New Roman" w:hAnsi="Times New Roman" w:eastAsia="黑体"/>
          <w:b/>
          <w:bCs/>
          <w:sz w:val="72"/>
        </w:rPr>
      </w:pPr>
      <w:r>
        <w:rPr>
          <w:rFonts w:ascii="Times New Roman" w:hAnsi="Times New Roman" w:eastAsia="黑体"/>
          <w:b/>
          <w:bCs/>
          <w:sz w:val="72"/>
        </w:rPr>
        <w:t>告</w:t>
      </w:r>
    </w:p>
    <w:p w14:paraId="37497091">
      <w:pPr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编 制 单 位（××公司）</w:t>
      </w:r>
    </w:p>
    <w:p w14:paraId="5AAACCF9">
      <w:pPr>
        <w:jc w:val="center"/>
        <w:rPr>
          <w:rFonts w:ascii="Times New Roman" w:hAnsi="Times New Roman" w:eastAsia="仿宋_GB2312"/>
          <w:sz w:val="32"/>
        </w:rPr>
        <w:sectPr>
          <w:pgSz w:w="11906" w:h="16838"/>
          <w:pgMar w:top="2098" w:right="1474" w:bottom="1587" w:left="1588" w:header="851" w:footer="1417" w:gutter="0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sz w:val="32"/>
        </w:rPr>
        <w:t xml:space="preserve">  年  月</w:t>
      </w:r>
    </w:p>
    <w:p w14:paraId="6EDD9DD5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资金申请报告提纲</w:t>
      </w:r>
    </w:p>
    <w:p w14:paraId="73EADF40">
      <w:pPr>
        <w:numPr>
          <w:ilvl w:val="0"/>
          <w:numId w:val="1"/>
        </w:numPr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煤矿基本情况</w:t>
      </w:r>
    </w:p>
    <w:p w14:paraId="173D76E4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1.基本信息、生产或建设情况、资产和财务状况、兼并重组状况等。</w:t>
      </w:r>
    </w:p>
    <w:p w14:paraId="0B4EC288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2.煤炭资源赋存情况及开采条件。</w:t>
      </w:r>
    </w:p>
    <w:p w14:paraId="46B3B138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3.井下主要生产、安全系统现状。</w:t>
      </w:r>
    </w:p>
    <w:p w14:paraId="645692A7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4.煤矿供电情况。</w:t>
      </w:r>
    </w:p>
    <w:p w14:paraId="2A09D89C">
      <w:pPr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二、储能应急电源建设技术方案</w:t>
      </w:r>
    </w:p>
    <w:p w14:paraId="5923EBFA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1.储能应急电源建设技术方案。</w:t>
      </w:r>
    </w:p>
    <w:p w14:paraId="3C210695">
      <w:pPr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2.储能应急电源建设新增设备及明细表（主要设备型号、数量及技术参数等）。</w:t>
      </w:r>
    </w:p>
    <w:p w14:paraId="1C8F209E">
      <w:pPr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三、组织实施</w:t>
      </w:r>
      <w:r>
        <w:rPr>
          <w:rFonts w:hint="eastAsia" w:ascii="Times New Roman" w:hAnsi="Times New Roman" w:eastAsia="黑体"/>
          <w:sz w:val="32"/>
        </w:rPr>
        <w:t>情况</w:t>
      </w:r>
    </w:p>
    <w:p w14:paraId="041D2BC9">
      <w:pPr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四、</w:t>
      </w:r>
      <w:r>
        <w:rPr>
          <w:rFonts w:hint="eastAsia" w:ascii="Times New Roman" w:hAnsi="Times New Roman" w:eastAsia="黑体"/>
          <w:sz w:val="32"/>
        </w:rPr>
        <w:t>投资情况</w:t>
      </w:r>
    </w:p>
    <w:p w14:paraId="101AE449">
      <w:pPr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包括项目总投资规模、资金</w:t>
      </w:r>
      <w:r>
        <w:rPr>
          <w:rFonts w:hint="eastAsia" w:ascii="Times New Roman" w:hAnsi="Times New Roman" w:eastAsia="仿宋_GB2312"/>
          <w:sz w:val="32"/>
        </w:rPr>
        <w:t>来源、</w:t>
      </w:r>
      <w:r>
        <w:rPr>
          <w:rFonts w:ascii="Times New Roman" w:hAnsi="Times New Roman" w:eastAsia="仿宋_GB2312"/>
          <w:sz w:val="32"/>
        </w:rPr>
        <w:t>投资使用</w:t>
      </w:r>
      <w:r>
        <w:rPr>
          <w:rFonts w:hint="eastAsia" w:ascii="Times New Roman" w:hAnsi="Times New Roman" w:eastAsia="仿宋_GB2312"/>
          <w:sz w:val="32"/>
        </w:rPr>
        <w:t>情况</w:t>
      </w:r>
      <w:r>
        <w:rPr>
          <w:rFonts w:ascii="Times New Roman" w:hAnsi="Times New Roman" w:eastAsia="仿宋_GB2312"/>
          <w:sz w:val="32"/>
        </w:rPr>
        <w:t>等。</w:t>
      </w:r>
    </w:p>
    <w:p w14:paraId="46B84372">
      <w:pPr>
        <w:ind w:firstLine="64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五、经济和社会效果分析</w:t>
      </w:r>
    </w:p>
    <w:p w14:paraId="49E52AB3">
      <w:pPr>
        <w:ind w:firstLine="640" w:firstLineChars="200"/>
      </w:pPr>
      <w:r>
        <w:rPr>
          <w:rFonts w:ascii="Times New Roman" w:hAnsi="Times New Roman" w:eastAsia="黑体"/>
          <w:sz w:val="32"/>
        </w:rPr>
        <w:t>六、其他需要说明的事项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05F603-C499-48E2-932F-D5C1B40D05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AFAAE3-E0FB-46F4-A829-5ACFF1131E16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CE725A-DCD5-4FEC-A913-6DB0CE6685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FB3C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0A8D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0A8D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0887C"/>
    <w:multiLevelType w:val="singleLevel"/>
    <w:tmpl w:val="11A088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24B4EF8"/>
    <w:rsid w:val="024B4EF8"/>
    <w:rsid w:val="1AA2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2025-02-28T06:58:00Z</dcterms:created>
  <dc:creator>Autistic  </dc:creator>
  <cp:lastModifiedBy>Autistic  </cp:lastModifiedBy>
  <dcterms:modified xsi:type="dcterms:W3CDTF">2025-02-28T07:01:02Z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0B44DF983CF343529183A5EF0E70950C_13</vt:lpwstr>
  </property>
</Properties>
</file>