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967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32"/>
        <w:gridCol w:w="1033"/>
        <w:gridCol w:w="581"/>
        <w:gridCol w:w="2071"/>
        <w:gridCol w:w="1446"/>
        <w:gridCol w:w="257"/>
        <w:gridCol w:w="1319"/>
        <w:gridCol w:w="8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kern w:val="2"/>
                <w:sz w:val="32"/>
                <w:szCs w:val="32"/>
                <w:highlight w:val="none"/>
                <w:lang w:bidi="ar-SA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kern w:val="2"/>
                <w:sz w:val="32"/>
                <w:szCs w:val="32"/>
                <w:highlight w:val="none"/>
                <w:lang w:bidi="ar-SA"/>
              </w:rPr>
              <w:t>附件: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kern w:val="2"/>
                <w:sz w:val="32"/>
                <w:szCs w:val="32"/>
                <w:highlight w:val="none"/>
                <w:lang w:bidi="ar-SA"/>
              </w:rPr>
              <w:t>贵州安和永驻科技有限公司检测检验机构信息公开表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75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贵州安和永驻科技有限公司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统一社会信用代码/注册号</w:t>
            </w:r>
          </w:p>
        </w:tc>
        <w:tc>
          <w:tcPr>
            <w:tcW w:w="59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/>
                <w:color w:val="auto"/>
                <w:spacing w:val="20"/>
                <w:sz w:val="24"/>
                <w:szCs w:val="24"/>
              </w:rPr>
              <w:t>91520115MA6HP2G15</w:t>
            </w:r>
            <w:r>
              <w:rPr>
                <w:rFonts w:hint="eastAsia"/>
                <w:color w:val="auto"/>
                <w:spacing w:val="2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 w:val="0"/>
                <w:snapToGrid/>
                <w:color w:val="auto"/>
                <w:kern w:val="2"/>
                <w:sz w:val="24"/>
                <w:szCs w:val="24"/>
                <w:highlight w:val="none"/>
              </w:rPr>
              <w:t>贵州省贵阳市云岩区金关街道蔡家关理工学院内50栋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4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550001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实验室地址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_GB2312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主场所位置：贵阳市云岩区蔡关路1号贵州理工学院内50栋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分场所位置：六盘水钟山区八一路17号凉都花园2栋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550001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553009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机构信息公开网址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http://www.gzahyz.cn/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詹相卫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机构联系人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both"/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15985585225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0851-84811970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主持检测检验工作负责人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詹相卫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资质证书编号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黔 煤监 20 03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发证日期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2020年12月14日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资质证书批准部门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贵州省能源局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有效日期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2025年12月14日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678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11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2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产品/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产品类别</w:t>
            </w:r>
          </w:p>
        </w:tc>
        <w:tc>
          <w:tcPr>
            <w:tcW w:w="3685" w:type="dxa"/>
            <w:gridSpan w:val="3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项目/参数</w:t>
            </w:r>
          </w:p>
        </w:tc>
        <w:tc>
          <w:tcPr>
            <w:tcW w:w="1703" w:type="dxa"/>
            <w:gridSpan w:val="2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依据标准（方法）名称及编号（含年号）</w:t>
            </w:r>
          </w:p>
        </w:tc>
        <w:tc>
          <w:tcPr>
            <w:tcW w:w="1319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限制范围</w:t>
            </w:r>
          </w:p>
        </w:tc>
        <w:tc>
          <w:tcPr>
            <w:tcW w:w="82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711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703" w:type="dxa"/>
            <w:gridSpan w:val="2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煤矿在用主通风机系统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《煤矿在用主通风机系统安全检测检验规范》AQ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1011-2005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外观质量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通风机运行功率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安全保护及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</w:rPr>
              <w:t>设施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通风机运行效率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风量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风压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振动速度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轴承与电机温度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电动机绝缘电阻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接地电阻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叶片径向间隙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spacing w:line="300" w:lineRule="exact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u w:val="none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煤矿在用空气压缩机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《煤矿在用空气压缩机安全检测检验规范》AQ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1013-2005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证件审查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安全保护装置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温度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压缩机油闪点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容积流量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排气压力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转速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比功率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煤矿在用主排水系统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《煤矿在用主排水系 统安全检测检验规范》AQ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1012-2005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流量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扬程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排水系统的检测(排水能力)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管路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吨水百米电耗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水泵效率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电参数的测量(电动机功率)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起动时间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机房温度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煤矿在用摩擦式提升机系统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《煤矿在用摩擦式提升机系统安全检测检验规范》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AQ1014-2005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煤矿在用缠绕式提升机系统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《煤矿在用缠绕式提升机系统安全检测检验规范》AQ1015-2005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煤矿在用提升绞车系统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Style w:val="11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  <w:t>《煤矿在用提升绞车系统安全检测检验规范》AQ1016-2005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ourier New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  <w:t>《煤矿安全规程》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煤矿用带式输送机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《煤矿用带式输送机技术条件》MT820-2006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《煤矿用带式输送机技术条件》MT820-2006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安全要求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带速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电机功率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加速度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减速度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运行平稳性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输送带跑偏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制动装置和逆行装置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保护装置和电控装置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张紧装置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液压元件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清扫器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煤矿在用瓦斯抽放泵（水环式真空泵）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《水环式真空泵和水环式压缩机试验方法》GB/T13929-2010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《水环式真空泵和水环式压缩机气量测定方法》GB/T13930-2010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吸入压力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气量流量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排出压力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轴功率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等温效率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温度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湿度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大气压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设施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架空乘人装置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基本要求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《煤矿用架空乘人装置安全检验规范》AQ1038-2007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使用性能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负载运行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钢丝绳的导向装置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空载运行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制动装置性能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托轮性能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抱索器抗滑性能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尾轮及张紧装置性能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安全防护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运行速度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煤矿在用窄轨车辆连接链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《煤矿在用窄轨车辆连接链检验规范》AQ1112-2014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二倍最大静荷重试验时的永久伸长率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煤矿在用窄轨车辆连接插销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《煤矿在用窄轨车辆连接插销检验规范》AQ1113-2014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《煤矿安全规程》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煤矿在用重要用途钢丝绳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(新绳)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安全系数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《煤矿重要用途钢丝绳验收技术条件》MT/T716-2019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钢丝绳绳径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钢丝直径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拆股钢丝抗拉强度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拆股钢丝反复弯曲次数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拆股钢丝扭转次数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三项低值钢丝的允许总数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煤矿在用重要用途钢丝绳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(旧绳)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钢丝绳直径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《煤矿重要用途钢丝绳性能测定方法及判定规则》MT/T717-2019 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拆股钢丝破断拉力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钢丝的平均抗拉强度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拆股钢丝反复弯曲次数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不合格钢丝断面积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安全系数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煤矿在用无极绳绞车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工作条件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煤矿用无极绳调速机械绞车安全检验规范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AQ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1041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基本要求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操纵性能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空运转试验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负荷转试验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13.7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安全防护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煤矿在用单轨吊车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《柴油机单轨吊机车》MT/T 883-2000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操纵系统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保护装置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指示仪表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离心限速器限速值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瓦斯超限报警断电保护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紧急制动装置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照明灯的照度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零部件和铭牌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灭火器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最大运行速度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最大牵引力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紧急制动力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紧急制动装置施闸时的空动时间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制动距离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仿宋_GB2312" w:cs="宋体"/>
                <w:color w:val="auto"/>
                <w:sz w:val="21"/>
                <w:szCs w:val="21"/>
              </w:rPr>
              <w:t>14.18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单轨吊机车的外观要求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煤矿用低浓度载体催化式甲烷传感器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《煤矿用低浓度载体催化式甲烷传感器》 AQ 6203-2006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便携式载体催化甲烷检测报警仪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《便携式载体催化甲烷检测报警仪》AQ 6207-2007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电源及充电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位置变动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瓦斯抽放用热导式高浓度甲烷传感器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《瓦斯抽放用热导式高浓度甲烷传感器》AQ 6204-2006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煤矿用高低浓度甲烷传感器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《煤矿用高低浓度甲烷传感器》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AQ6206-2006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基本误差测定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转换点附加误差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right="0" w:rightChars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光干涉式甲烷测定器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《光干涉式甲烷测定器》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28-2005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干涉条纹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气密性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自由跌落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矿用一氧化碳传感器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《煤矿用电化学式一氧化碳传感器》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 6205-2006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断电保护措施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便携式一氧化碳测定器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外观及结构 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《煤矿用携带型电化学式一氧化碳测定器》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703-2008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电源及充电功能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基本误差和零点漂移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位置变动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电气安全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矿用激光甲烷传感器、红外低浓度甲烷传感器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外观、结构及气室防护 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《煤矿用非色散红外甲烷传感器》AQ  6211-2008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最小分辨率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矿用氧气传感器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《煤矿用电化学式氧气传感器技术条件》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447-1995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警报功能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氧气测定器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《煤矿用携带型电化学式氧气测定器》MT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704-2008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电源及充电功能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基本误差和零点漂移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警报功能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电气安全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矿用二氧化碳传感器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《矿用二氧化碳传感器通用技术条件》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 1052-2008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遥控器调校功能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1"/>
                <w:szCs w:val="21"/>
                <w:lang w:val="en-US" w:eastAsia="zh-CN"/>
              </w:rPr>
              <w:t>限声级强度和声光信号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.10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矿用温度传感器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煤矿用温度传感器通用技术条件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381-2007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工作电压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工作电流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矿用粉尘浓度传感器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外观与结构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《煤矿用粉尘浓度传感器》MT/T 1102-2009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零位稳定性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粉尘采样器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外观与结构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《粉尘采样器》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GB/T 20964-2007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采样流量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采样流量误差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采样头气密性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采样时间误差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绝缘强度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直读式粉尘浓度测量仪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外观与结构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《直读式粉尘浓度测量仪通用技术条件》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163-2019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相对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采样流量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采样流量误差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采样时间误差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矿用风速传感器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《矿用风速传感器》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448-2008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介电强度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矿用风速表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外观和运动零、部件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《煤矿用风速表》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380-2007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起动风速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风速测量范围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风速误差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计时误差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电子风表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电子风表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强度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电子风表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差压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传感器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《矿用差压传感器通用技术条件》MT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393-1995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重复性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回程误差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密封性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过载性能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电源波动性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矿用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硫化氢传感器、测定器、报警仪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《煤矿用硫化氢检测报警仪》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1084-2008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报警性能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报警仪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电气安全性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矿用烟雾传感器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矿用烟雾传感器通用技术条件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 382-2011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工作稳定性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4.7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工作耐压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before="0" w:line="300" w:lineRule="exact"/>
              <w:ind w:left="0" w:leftChars="0" w:firstLine="198" w:firstLineChars="100"/>
              <w:jc w:val="left"/>
              <w:rPr>
                <w:rFonts w:hint="default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pacing w:val="-6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before="0" w:line="300" w:lineRule="exact"/>
              <w:ind w:left="0" w:leftChars="0" w:right="0" w:rightChars="0" w:firstLine="0" w:firstLine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二氧化硫传</w:t>
            </w:r>
            <w:r>
              <w:rPr>
                <w:rFonts w:hint="eastAsia" w:ascii="宋体" w:hAnsi="宋体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 xml:space="preserve">感器、测定 </w:t>
            </w:r>
            <w:r>
              <w:rPr>
                <w:rFonts w:hint="eastAsia" w:ascii="宋体" w:hAnsi="宋体" w:eastAsia="仿宋_GB2312" w:cs="Times New Roman"/>
                <w:color w:val="auto"/>
                <w:sz w:val="21"/>
                <w:szCs w:val="21"/>
              </w:rPr>
              <w:t>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功能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《作业场所环境气体检测 报警仪通用技术要求》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12358-2006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检测误差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报警误差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重复性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电压波动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响应时间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FF0000"/>
                <w:sz w:val="21"/>
                <w:szCs w:val="21"/>
                <w:lang w:val="en-US" w:eastAsia="zh-CN"/>
              </w:rPr>
              <w:t>35.7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default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FF0000"/>
                <w:spacing w:val="-6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FF0000"/>
                <w:spacing w:val="-6"/>
                <w:sz w:val="21"/>
                <w:szCs w:val="21"/>
                <w:lang w:val="en-US" w:eastAsia="zh-CN"/>
              </w:rPr>
              <w:t>5.8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0" w:line="300" w:lineRule="exact"/>
              <w:ind w:left="0" w:lef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color w:val="auto"/>
                <w:spacing w:val="-6"/>
                <w:sz w:val="21"/>
                <w:szCs w:val="21"/>
              </w:rPr>
              <w:t>耐压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水位传感器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《矿用水位传感器通用技术条件》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MT/T 825-1999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工作电压范围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最大工作电流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传输距离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FF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报警方式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center"/>
              <w:rPr>
                <w:rStyle w:val="10"/>
                <w:rFonts w:hint="eastAsia" w:ascii="宋体" w:hAnsi="宋体" w:cs="Times New Roman"/>
                <w:color w:val="auto"/>
                <w:sz w:val="21"/>
                <w:szCs w:val="21"/>
                <w:u w:val="none"/>
                <w:shd w:val="clear"/>
              </w:rPr>
            </w:pPr>
            <w:r>
              <w:rPr>
                <w:rStyle w:val="10"/>
                <w:rFonts w:hint="eastAsia" w:ascii="宋体" w:hAnsi="宋体" w:cs="Times New Roman"/>
                <w:color w:val="auto"/>
                <w:sz w:val="21"/>
                <w:szCs w:val="21"/>
                <w:u w:val="none"/>
                <w:shd w:val="clear"/>
              </w:rPr>
              <w:t>钢锻件超声波</w:t>
            </w:r>
          </w:p>
          <w:p>
            <w:pPr>
              <w:widowControl/>
              <w:spacing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Times New Roman"/>
                <w:color w:val="auto"/>
                <w:sz w:val="21"/>
                <w:szCs w:val="21"/>
                <w:u w:val="none"/>
                <w:shd w:val="clear"/>
              </w:rPr>
              <w:t>探伤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单个不连续缺陷（当量平底孔直径）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《钢锻件超声检验方法》</w:t>
            </w:r>
          </w:p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GB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T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6402-2008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密集形不连续缺陷（当量平底孔直径）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Autospacing="0" w:afterAutospacing="0"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通风机叶片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非线状（簇状）缺陷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《无损检测 渗透检测》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JB/T 9218-2015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线状缺陷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点线状缺陷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eastAsia="zh-CN" w:bidi="ar"/>
              </w:rPr>
              <w:t>监测监控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  <w:t>系统</w:t>
            </w:r>
          </w:p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系统型号及生产单位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《煤矿安全监控系统及检测仪器使用管理规范》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AQ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1029-2019、《煤矿安全监控系统通用技术要求》AQ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6201-2019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系统安标有效性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纳入安标管理的产品安标有效性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系统的本安关联特性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单机设备合格证明文件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系统图纸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设计方案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综合报告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现场系统组成设备的合规性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39.10 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管理制度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系统帐卡及报表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系统历史运行有效性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系统历史数据完整性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传输数字化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抗电磁干扰能力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系统架构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采掘面传感器的防护等级（IP65）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分级报警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39.19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异地断电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多网多系统融合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格式规范化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传感器设置自诊断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传感器定期未标校提醒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瓦斯涌出及火灾等预测预警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39.25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应急联动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39.26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巡检周期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39.27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备用电源供电时间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39.28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模拟量传输处理误差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仿宋_GB2312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39.29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加密存储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煤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矿用阻燃电缆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负载条件下的燃烧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《煤矿用电缆阻燃性能的试验方法和判定规则》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MT/T 386-2011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单根电线电缆垂直燃烧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煤矿用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织物芯阻燃输送带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覆盖层厚度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《煤矿用织物整芯阻燃输送带》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 914-2019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抗静电性能（表面电阻）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滚筒摩擦性能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喷灯燃烧性能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FF0000"/>
                <w:sz w:val="21"/>
                <w:szCs w:val="21"/>
                <w:lang w:val="en-US" w:eastAsia="zh-CN"/>
              </w:rPr>
              <w:t>煤矿用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钢丝绳芯阻燃输送带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覆盖层厚度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《煤矿用钢丝绳芯阻燃输送带》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MT/T 668-2019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抗静电性能（表面电阻）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滚筒摩擦性能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42.4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喷灯燃烧性能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煤矿用风筒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酒精喷灯燃烧试验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《矿用涂覆布风筒通用技术条件》MT/T 164-2019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酒精灯燃烧实验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43.3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抗静电性能（表面电阻）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3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非金属材料（除电缆、输送带、风筒外）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44.1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阻燃性试验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《煤矿井下用聚合物制品阻燃抗静电性通用试验方法和判定规则》MT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113-1995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/>
              </w:rPr>
              <w:t>44.2</w:t>
            </w:r>
          </w:p>
        </w:tc>
        <w:tc>
          <w:tcPr>
            <w:tcW w:w="265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抗静电性能（表面电阻）</w:t>
            </w:r>
          </w:p>
        </w:tc>
        <w:tc>
          <w:tcPr>
            <w:tcW w:w="170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320" w:lineRule="exact"/>
        <w:ind w:left="161" w:leftChars="0" w:right="0" w:rightChars="0" w:hanging="161" w:hangingChars="71"/>
        <w:textAlignment w:val="auto"/>
        <w:rPr>
          <w:sz w:val="24"/>
          <w:szCs w:val="24"/>
        </w:rPr>
      </w:pPr>
    </w:p>
    <w:p>
      <w:pPr>
        <w:rPr>
          <w:rFonts w:hint="eastAsia" w:eastAsia="仿宋_GB2312"/>
          <w:sz w:val="24"/>
          <w:szCs w:val="24"/>
          <w:lang w:eastAsia="zh-CN"/>
        </w:rPr>
      </w:pP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highlight w:val="none"/>
          <w:lang w:val="en-US" w:eastAsia="zh-CN"/>
        </w:rPr>
        <w:t>资 质 证 书</w:t>
      </w:r>
    </w:p>
    <w:p>
      <w:pPr>
        <w:pStyle w:val="4"/>
        <w:snapToGrid w:val="0"/>
        <w:ind w:left="0" w:leftChars="-200" w:hanging="616" w:hangingChars="200"/>
        <w:jc w:val="center"/>
        <w:rPr>
          <w:rFonts w:hint="eastAsia" w:ascii="宋体" w:hAnsi="宋体" w:cs="Times New Roman"/>
          <w:bCs/>
          <w:szCs w:val="22"/>
          <w:highlight w:val="none"/>
          <w:lang w:val="en-US" w:eastAsia="zh-CN"/>
        </w:rPr>
      </w:pPr>
      <w:r>
        <w:rPr>
          <w:rFonts w:hint="eastAsia" w:hAnsi="宋体" w:cs="Times New Roman"/>
          <w:bCs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cs="Times New Roman"/>
          <w:bCs/>
          <w:sz w:val="28"/>
          <w:szCs w:val="28"/>
          <w:highlight w:val="none"/>
          <w:lang w:val="en-US" w:eastAsia="zh-CN"/>
        </w:rPr>
        <w:t>授权签字人及授权签字领域</w:t>
      </w:r>
    </w:p>
    <w:p>
      <w:pPr>
        <w:pStyle w:val="4"/>
        <w:snapToGrid w:val="0"/>
        <w:ind w:left="0" w:leftChars="-200" w:hanging="616" w:hangingChars="200"/>
        <w:jc w:val="center"/>
        <w:rPr>
          <w:rFonts w:hint="default" w:ascii="宋体" w:hAnsi="宋体" w:cs="Times New Roman"/>
          <w:bCs/>
          <w:szCs w:val="22"/>
          <w:highlight w:val="none"/>
          <w:lang w:val="en-US" w:eastAsia="zh-CN"/>
        </w:rPr>
      </w:pPr>
    </w:p>
    <w:p>
      <w:pPr>
        <w:pStyle w:val="4"/>
        <w:snapToGrid w:val="0"/>
        <w:ind w:left="4788" w:leftChars="0" w:hanging="4788" w:hangingChars="2100"/>
        <w:jc w:val="left"/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机构名称：</w:t>
      </w:r>
      <w:r>
        <w:rPr>
          <w:rFonts w:hint="eastAsia"/>
          <w:bCs/>
          <w:color w:val="auto"/>
          <w:sz w:val="24"/>
          <w:highlight w:val="none"/>
        </w:rPr>
        <w:t>贵州安和永驻科技有限公司</w:t>
      </w: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地址：贵州省贵阳市云岩区金关街道蔡家关理工学院内50栋</w:t>
      </w:r>
    </w:p>
    <w:p>
      <w:pPr>
        <w:pStyle w:val="4"/>
        <w:snapToGrid w:val="0"/>
        <w:ind w:left="5016" w:leftChars="0" w:hanging="5016" w:hangingChars="2200"/>
        <w:jc w:val="left"/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>主 场 所：</w:t>
      </w: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贵州省贵阳市云岩区金关街道蔡家关理工学院内50栋</w:t>
      </w:r>
    </w:p>
    <w:p>
      <w:pPr>
        <w:pStyle w:val="4"/>
        <w:snapToGrid w:val="0"/>
        <w:ind w:left="5016" w:leftChars="0" w:hanging="5016" w:hangingChars="2200"/>
        <w:jc w:val="left"/>
        <w:rPr>
          <w:rFonts w:hint="eastAsia" w:ascii="宋体" w:hAnsi="宋体" w:eastAsia="仿宋_GB2312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>分 场 所：</w:t>
      </w:r>
      <w:r>
        <w:rPr>
          <w:rFonts w:hint="eastAsia" w:ascii="宋体" w:hAnsi="宋体" w:eastAsia="仿宋_GB2312" w:cs="Times New Roman"/>
          <w:bCs/>
          <w:sz w:val="24"/>
          <w:szCs w:val="24"/>
          <w:highlight w:val="none"/>
          <w:lang w:val="en-US" w:eastAsia="zh-CN"/>
        </w:rPr>
        <w:t>六盘水钟山区八一路17号凉都花园2栋</w:t>
      </w:r>
    </w:p>
    <w:p>
      <w:pPr>
        <w:pStyle w:val="4"/>
        <w:snapToGrid w:val="0"/>
        <w:ind w:left="0" w:leftChars="0" w:firstLine="0" w:firstLineChars="0"/>
        <w:jc w:val="left"/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证书编号：</w:t>
      </w:r>
      <w:r>
        <w:rPr>
          <w:rFonts w:hint="eastAsia" w:ascii="仿宋_GB2312" w:hAnsi="Helvetica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黔 煤监 20 03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>有效期至：</w:t>
      </w:r>
      <w:r>
        <w:rPr>
          <w:rFonts w:hint="eastAsia" w:ascii="仿宋_GB2312" w:hAnsi="Helvetica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2025年12月14日</w:t>
      </w:r>
    </w:p>
    <w:tbl>
      <w:tblPr>
        <w:tblStyle w:val="8"/>
        <w:tblW w:w="87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72"/>
        <w:gridCol w:w="384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授权签字人姓名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王杰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詹相卫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王元贵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（以下空白）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（以下空白）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hAnsi="宋体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jY3YzU5YjhjMDgyMTM1ZTg1OGNmMGI1OTUyMzIifQ=="/>
  </w:docVars>
  <w:rsids>
    <w:rsidRoot w:val="16E401CC"/>
    <w:rsid w:val="01856881"/>
    <w:rsid w:val="05B74EEB"/>
    <w:rsid w:val="064F0082"/>
    <w:rsid w:val="068F00E1"/>
    <w:rsid w:val="12666D66"/>
    <w:rsid w:val="12FD414F"/>
    <w:rsid w:val="16E401CC"/>
    <w:rsid w:val="1AB04D0D"/>
    <w:rsid w:val="1B216501"/>
    <w:rsid w:val="22491C56"/>
    <w:rsid w:val="225A1712"/>
    <w:rsid w:val="268842A2"/>
    <w:rsid w:val="29907C3F"/>
    <w:rsid w:val="2BE412CA"/>
    <w:rsid w:val="2BF77F01"/>
    <w:rsid w:val="2D827D1E"/>
    <w:rsid w:val="2DF97295"/>
    <w:rsid w:val="34EC4C37"/>
    <w:rsid w:val="38A8133A"/>
    <w:rsid w:val="39DB03B0"/>
    <w:rsid w:val="3AE6539F"/>
    <w:rsid w:val="3D5E0C45"/>
    <w:rsid w:val="3E8527A2"/>
    <w:rsid w:val="3FF13018"/>
    <w:rsid w:val="47023C25"/>
    <w:rsid w:val="47A8519E"/>
    <w:rsid w:val="48B74DBC"/>
    <w:rsid w:val="492905A3"/>
    <w:rsid w:val="49CDD3C2"/>
    <w:rsid w:val="49F8204D"/>
    <w:rsid w:val="4A015677"/>
    <w:rsid w:val="4BD8702A"/>
    <w:rsid w:val="4DAF4C6A"/>
    <w:rsid w:val="4FB50855"/>
    <w:rsid w:val="514F07F2"/>
    <w:rsid w:val="53C024B0"/>
    <w:rsid w:val="5E0F1B60"/>
    <w:rsid w:val="5E4FE0D4"/>
    <w:rsid w:val="5FFD760A"/>
    <w:rsid w:val="613E2453"/>
    <w:rsid w:val="61655D8F"/>
    <w:rsid w:val="64664A96"/>
    <w:rsid w:val="651346D9"/>
    <w:rsid w:val="6A9F5845"/>
    <w:rsid w:val="6D717C1E"/>
    <w:rsid w:val="6D8B6DD7"/>
    <w:rsid w:val="6FDC5CF4"/>
    <w:rsid w:val="6FFBBFE0"/>
    <w:rsid w:val="74EF327C"/>
    <w:rsid w:val="759F3666"/>
    <w:rsid w:val="75DB226C"/>
    <w:rsid w:val="77DD0525"/>
    <w:rsid w:val="77EDEAB2"/>
    <w:rsid w:val="786A24C1"/>
    <w:rsid w:val="79AC5FC4"/>
    <w:rsid w:val="7B1240D2"/>
    <w:rsid w:val="7B9F4123"/>
    <w:rsid w:val="7BC58B8A"/>
    <w:rsid w:val="7BF6FF0B"/>
    <w:rsid w:val="7E7A60D3"/>
    <w:rsid w:val="7F6916AB"/>
    <w:rsid w:val="7F9E68E8"/>
    <w:rsid w:val="9BFD30BA"/>
    <w:rsid w:val="9FECDD53"/>
    <w:rsid w:val="B6A72734"/>
    <w:rsid w:val="B9FF922F"/>
    <w:rsid w:val="BF7F39A3"/>
    <w:rsid w:val="DBFB234A"/>
    <w:rsid w:val="DCCFA65B"/>
    <w:rsid w:val="DE5F2DE3"/>
    <w:rsid w:val="DFFFAF60"/>
    <w:rsid w:val="F5DD756D"/>
    <w:rsid w:val="FBFF593A"/>
    <w:rsid w:val="FDBF2393"/>
    <w:rsid w:val="FFC332FA"/>
    <w:rsid w:val="FFEF7035"/>
    <w:rsid w:val="FFFFD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sgz\D:\home\ysgz\E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11</Pages>
  <Words>4223</Words>
  <Characters>5907</Characters>
  <Lines>1</Lines>
  <Paragraphs>1</Paragraphs>
  <TotalTime>5</TotalTime>
  <ScaleCrop>false</ScaleCrop>
  <LinksUpToDate>false</LinksUpToDate>
  <CharactersWithSpaces>6009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2016-04-21T19:31:00Z</dcterms:created>
  <dc:creator>Administrator</dc:creator>
  <cp:lastModifiedBy>Q</cp:lastModifiedBy>
  <cp:lastPrinted>2022-11-14T22:29:00Z</cp:lastPrinted>
  <dcterms:modified xsi:type="dcterms:W3CDTF">2024-05-28T09:18:18Z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AFEF73B06C4743719AA602F90B2DE97F_13</vt:lpwstr>
  </property>
</Properties>
</file>