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333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07"/>
        <w:gridCol w:w="991"/>
        <w:gridCol w:w="2942"/>
        <w:gridCol w:w="1840"/>
        <w:gridCol w:w="168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ESI黑体-GB2312" w:hAnsi="CESI黑体-GB2312" w:eastAsia="CESI黑体-GB2312" w:cs="CESI黑体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贵州高精检测有限公司检测检验机构信息公开表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贵州高精检测有限公司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91520222MABQ08JJ97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贵州省六盘水市盘州市两河街道兴盘路科研大楼1层、7层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实验室地址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贵州省六盘水市盘州市两河街道兴盘路科研大楼1层、7层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机构信息公开网址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www.gzgjjc.cn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刘振湘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18212941618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主持检测检验工作负责人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蒋远义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蒋远义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资质证书编号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 煤监 23  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资质证书批准部门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贵州省能源局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有效日期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 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批准的业务范围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项目/参数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依据标准（方法）名称及编号（含年号）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限制范围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煤矿在用主通风机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《煤矿在用主通风机系统安全检测检验规范》AQ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1011-2005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外观质量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安全保护及设施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风量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风压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运行效率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  <w:lang w:val="en-US" w:eastAsia="zh-CN"/>
              </w:rPr>
              <w:t>输入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功率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轴承与电机温度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噪声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振动速度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叶片径向间隙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电动机绝缘电阻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1.13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接地电阻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煤矿在用空气压缩机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外观质量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《煤矿在用空气压缩机安全检测检验规范》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AQ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1013-2005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证件审查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安全保护装置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温度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压缩机油闪点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容积流量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排气压力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转速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71" w:leftChars="-34" w:right="-82" w:rightChars="-3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比功率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噪声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振动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煤矿在用主排水系统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证件审查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《煤矿在用主排水系统安全检测检验规范》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auto"/>
              </w:rPr>
              <w:t>AQ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1012-2005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水泵配置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管路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配电设备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泵房出口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机房温度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流量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扬程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转速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振动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噪声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输入功率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3.13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管路效率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泵的效率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3.15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排水系统效率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吨水百米电耗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煤矿在用缠绕式提升机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《煤矿在用缠绕式提升机系统安全检测检验规范》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AQ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1015-2005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机房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提升装置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提升机制动系统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液压系统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保护装置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信号装置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电气系统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煤矿在用提升绞车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系统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《煤矿在用提升绞车系统安全检测检验规范》AQ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1016-2005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机房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提升装置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提升机制动系统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液压系统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保护装置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信号装置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电气系统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带式输送机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《煤矿用带式输送机技术条件》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</w:rPr>
              <w:t>MT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820-2006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外观质量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安全要求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带速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电机功率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加速度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运行平稳性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输送带跑偏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制动装置和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逆止</w:t>
            </w:r>
            <w:r>
              <w:rPr>
                <w:rFonts w:hint="eastAsia"/>
                <w:sz w:val="21"/>
                <w:szCs w:val="21"/>
                <w:highlight w:val="none"/>
              </w:rPr>
              <w:t>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保护装置和电控装置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噪声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张紧装置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液压元件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.14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清扫器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煤矿在用瓦斯抽放泵（水环式真空泵）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《水环式真空泵和水环式压缩机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试验方法》GB/T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13929-2010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《水环式真空泵和水环式压缩机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气量测定方法》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GB/T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13930-2010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cs="宋体"/>
                <w:color w:val="auto"/>
                <w:lang w:eastAsia="zh-CN"/>
              </w:rPr>
              <w:t>《煤矿安全规程》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外观质量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气体</w:t>
            </w:r>
            <w:r>
              <w:rPr>
                <w:rFonts w:hint="eastAsia"/>
                <w:highlight w:val="none"/>
              </w:rPr>
              <w:t>流量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进气温度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大气压力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吸入压力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排出压力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转速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煤矿在用瓦斯抽放泵（水环式真空泵）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输入功率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《水环式真空泵和水环式压缩机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试验方法》GB/T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13929-2010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《水环式真空泵和水环式压缩机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气量测定方法》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GB/T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13930-2010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cs="宋体"/>
                <w:color w:val="auto"/>
                <w:lang w:eastAsia="zh-CN"/>
              </w:rPr>
              <w:t>《煤矿安全规程》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轴功率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等温</w:t>
            </w:r>
            <w:r>
              <w:rPr>
                <w:rFonts w:hint="eastAsia"/>
                <w:highlight w:val="none"/>
                <w:lang w:val="en-US" w:eastAsia="zh-CN"/>
              </w:rPr>
              <w:t>压缩</w:t>
            </w:r>
            <w:r>
              <w:rPr>
                <w:rFonts w:hint="eastAsia"/>
                <w:highlight w:val="none"/>
              </w:rPr>
              <w:t>效率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振动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7.13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噪声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7.14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highlight w:val="none"/>
              </w:rPr>
              <w:t>设施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煤矿用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架空乘人装置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《煤矿用架空乘人装置安全检验规范》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AQ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1038-2007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基本要求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使用性能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噪声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运行速度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钢丝绳导向装置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吊椅性能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制动装置性能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托轮性能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抱索器性能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尾轮及张紧装置性能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液压系统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8.13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安全防护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煤矿在用窄轨车辆连接链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1" w:leftChars="-34" w:right="-42" w:rightChars="-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《煤矿在用窄轨车辆连接链检验规范》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AQ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1112-2014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《煤矿安全规程》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外观检查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二倍最大静荷重试验时的永久伸长率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煤矿在用窄轨车辆连接插销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1" w:leftChars="-34" w:right="-42" w:rightChars="-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《煤矿在用窄轨车辆连接插销检验规范》</w:t>
            </w:r>
          </w:p>
          <w:p>
            <w:pPr>
              <w:widowControl/>
              <w:spacing w:line="240" w:lineRule="exact"/>
              <w:ind w:left="-71" w:leftChars="-34" w:right="-42" w:rightChars="-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AQ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1113-2014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《煤矿安全规程》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外观检查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二倍最大静荷重试验时的永久弯曲变形量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重要用途钢丝绳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钢丝直径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《煤矿重要用途钢丝绳验收技术条件》MT/T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716-2019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《煤矿重要用途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在用</w:t>
            </w:r>
            <w:r>
              <w:rPr>
                <w:rFonts w:hint="eastAsia" w:ascii="宋体" w:hAnsi="宋体" w:eastAsia="宋体" w:cs="宋体"/>
                <w:color w:val="auto"/>
              </w:rPr>
              <w:t>钢丝绳性能测定方法及判定规则》MT/T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717-2019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《煤矿安全规程》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钢丝破断拉力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反复弯曲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扭转（仅适用于验收及新钢丝绳悬挂）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不合格钢丝断面积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安全系数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矿用钢丝绳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证书审查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钢丝绳(缆)在线无损定量检测方法和判定规则</w:t>
            </w:r>
            <w:r>
              <w:rPr>
                <w:rFonts w:hint="eastAsia" w:ascii="宋体" w:hAnsi="宋体" w:cs="宋体"/>
                <w:color w:val="auto"/>
                <w:vertAlign w:val="baseline"/>
                <w:lang w:eastAsia="zh-CN"/>
              </w:rPr>
              <w:t>》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T 970-2005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铁磁性钢丝绳电磁检测方法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GB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T 21837-2008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表面质量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测量长度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磨损量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煤矿在用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无极绳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绞车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工作条件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《煤矿用无极绳调速机械绞车安全检验规范》AQ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1041-2007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操纵性能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使用性能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制动性能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安全防护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14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单轨吊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14.1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《煤矿在用单轨吊车安全性能检测检验规范》NB/T10176-2019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14.2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使用性能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14.3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14.4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照明、信号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通信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14.5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安全保护装置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14.6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配套设施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无极绳连续牵引车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15.1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工作条件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《无极绳连续牵引车》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MT/T 988-2006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15.2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基本要求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15.3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使用性能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15.4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安全保护性能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监测监控系统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系统型号及生产单位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《煤矿安全监控系统及检测仪器使用管理规范》</w:t>
            </w:r>
          </w:p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AQ 1029-2019</w:t>
            </w:r>
          </w:p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《煤矿安全监控系统通用技术要求》</w:t>
            </w:r>
          </w:p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AQ 6201-2019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《煤矿安全监控系统升级改造验收规范》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系统安标有效性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安标管理的产品安标有效性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系统的本安关联特性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单机设备合格证明文件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系统图纸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设计方案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综合报告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现场系统组成设备的合规性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管理制度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系统帐卡及报表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监测监控系统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系统历史运行有效性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《煤矿安全监控系统及检测仪器使用管理规范》</w:t>
            </w:r>
          </w:p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AQ 1029-2019</w:t>
            </w:r>
          </w:p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《煤矿安全监控系统通用技术要求》</w:t>
            </w:r>
          </w:p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AQ 6201-2019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《煤矿安全监控系统升级改造验收规范》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系统历史数据完整性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传输数字化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抗电磁干扰能力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系统架构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采掘面传感器的防护等级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IP65）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16.18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分级报警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16.19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异地断电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16.20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多网多系统融合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16.21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格式规范化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highlight w:val="none"/>
                <w:lang w:val="en-US" w:eastAsia="zh-CN"/>
              </w:rPr>
              <w:t>16.22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传感器设置自诊断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传感器定期未标校提醒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瓦斯涌出及火灾等预测预警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应急联动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巡检周期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备用电源供电时间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模拟量传输处理误差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16.29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加密存储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煤矿用</w:t>
            </w:r>
            <w:r>
              <w:rPr>
                <w:rFonts w:ascii="宋体" w:hAnsi="宋体"/>
                <w:szCs w:val="21"/>
                <w:highlight w:val="none"/>
              </w:rPr>
              <w:t>阻燃电缆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17.1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负载条件下的燃烧</w:t>
            </w:r>
          </w:p>
        </w:tc>
        <w:tc>
          <w:tcPr>
            <w:tcW w:w="18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71" w:leftChars="-34" w:right="-82" w:rightChars="-39"/>
              <w:jc w:val="left"/>
              <w:rPr>
                <w:rFonts w:hint="eastAsia"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《煤矿用电缆阻燃性能的试验方法和判定规则》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MT/T 386-2011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17.2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单根电线电缆垂直燃烧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煤矿用织物芯阻燃输送带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18.1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覆盖层厚度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《煤矿用织物芯阻燃输送带》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MT/T 914-2019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18.2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抗静电性能（表面电阻）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18.3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滚筒摩擦性能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18.4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喷灯燃烧性能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煤矿用钢丝绳芯阻燃输送带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覆盖层厚度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《煤矿用钢丝绳芯阻燃输送带》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MT/T 668-2019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抗静电性能（表面电阻）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滚筒摩擦性能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喷灯燃烧性能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highlight w:val="none"/>
                <w:lang w:val="en-US" w:eastAsia="zh-CN"/>
              </w:rPr>
              <w:t>煤矿用风筒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highlight w:val="none"/>
              </w:rPr>
              <w:t>酒精喷灯燃烧试验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风筒涂覆布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GB/T20105-2006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highlight w:val="none"/>
              </w:rPr>
              <w:t>酒精灯燃烧试验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抗静电性能（表面电阻）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煤矿用非金属制品及材料（非金属管材、反应型高分子材料）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highlight w:val="none"/>
                <w:lang w:val="en-US" w:eastAsia="zh-CN"/>
              </w:rPr>
              <w:t>21.1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阻燃性试验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《煤矿井下用聚合物制品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阻燃</w:t>
            </w:r>
            <w:r>
              <w:rPr>
                <w:rFonts w:hint="eastAsia" w:ascii="宋体" w:hAnsi="宋体" w:cs="宋体"/>
                <w:color w:val="auto"/>
                <w:szCs w:val="18"/>
              </w:rPr>
              <w:t>抗静电性通用试验方法和判定规则》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color w:val="auto"/>
                <w:szCs w:val="18"/>
              </w:rPr>
              <w:t xml:space="preserve"> 113-1995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highlight w:val="none"/>
                <w:lang w:val="en-US" w:eastAsia="zh-CN"/>
              </w:rPr>
              <w:t>21.2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抗静电性能（表面电阻）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钢锻件（轴类）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单个不连续缺陷（当量平底孔直径）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</w:rPr>
              <w:t>GB/T 6402-2008《钢锻件超声检测方法》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684-1997《矿用提升容器重要承载件无损探伤方法与验收规范》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密集形不连续缺陷（当量平底孔直径）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通风机叶片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非线状（簇状）缺陷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《无损检测渗透检测方法》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J</w:t>
            </w:r>
            <w:r>
              <w:rPr>
                <w:rFonts w:ascii="宋体" w:hAnsi="宋体"/>
                <w:color w:val="auto"/>
                <w:szCs w:val="21"/>
              </w:rPr>
              <w:t>B/T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9218-2015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线状缺陷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点线状缺陷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便携式载体催化甲烷检测报警仪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cs="宋体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《便携式载体催化甲烷检测报警仪》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AQ 6207-2007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电源及充电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位置变动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24.11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光干涉式甲烷测定器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《光干涉式甲烷测定器》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color w:val="auto"/>
                <w:szCs w:val="18"/>
              </w:rPr>
              <w:t xml:space="preserve"> 28-2005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干涉条纹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气密性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自由跌落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ind w:left="-71" w:leftChars="-34" w:right="-82" w:rightChars="-39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煤矿用低浓度载体催化式甲烷传感器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《煤矿用低浓度载体催化式甲烷传感器》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AQ 6203-2006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遥控调校功能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59"/>
              </w:tabs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  <w:t>26.11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瓦斯</w:t>
            </w:r>
            <w:r>
              <w:rPr>
                <w:rStyle w:val="13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抽放用热导式高浓度甲烷传感器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《瓦斯抽放用热导式高浓度甲烷传感器》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AQ 6204-2006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遥控调校功能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59"/>
              </w:tabs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27.11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煤矿用高低浓度甲烷传感器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hint="eastAsia"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 xml:space="preserve">《煤矿用高低浓度甲烷传感器》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AQ 6206-2006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遥控调校功能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转换点附加误差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28.12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红外</w:t>
            </w:r>
            <w:r>
              <w:rPr>
                <w:rFonts w:hint="eastAsia" w:ascii="宋体" w:hAnsi="宋体" w:cs="宋体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激光</w:t>
            </w:r>
            <w:r>
              <w:rPr>
                <w:rFonts w:hint="eastAsia" w:ascii="宋体" w:hAnsi="宋体" w:cs="宋体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甲烷传感器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 xml:space="preserve">外观、结构及气室防护 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《煤矿用非色散红外甲烷传感器》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AQ 6211-2008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最小分辨率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报警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29.10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一氧化碳传感器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《</w:t>
            </w:r>
            <w:r>
              <w:rPr>
                <w:rFonts w:ascii="宋体" w:hAnsi="宋体" w:cs="宋体"/>
                <w:color w:val="auto"/>
                <w:szCs w:val="21"/>
              </w:rPr>
              <w:t>煤矿用电化学式一氧化碳传感器</w:t>
            </w:r>
            <w:r>
              <w:rPr>
                <w:rFonts w:ascii="宋体" w:hAnsi="宋体"/>
                <w:color w:val="auto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/>
                <w:color w:val="auto"/>
              </w:rPr>
              <w:t>AQ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</w:rPr>
              <w:t>6205-2006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断电保护措施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遥控调校功能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30.12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  <w:lang w:val="en-US" w:eastAsia="zh-CN"/>
              </w:rPr>
              <w:t>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携带型电化学式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一氧化碳测定器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71" w:leftChars="-34" w:right="-82" w:rightChars="-39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《煤矿用携带型电化学式一氧化碳测定器》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MT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703-2008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电源及充电功能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基本误差和零点漂移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位置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变动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31.9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电气安全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氧气传感器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煤矿用电化学式氧气传感器技术条件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447-1995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32.5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氧气测定器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一般检查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《煤矿用携带型电化学式氧气测定器》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color w:val="auto"/>
                <w:szCs w:val="18"/>
              </w:rPr>
              <w:t xml:space="preserve"> 704-2008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电源及充电功能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基本误差和零点漂移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工作位置变动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33.7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33.8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33.9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电气安全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二氧化碳传感器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《矿用二氧化碳传感器通用技术条件》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AQ 1052-2008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遥控器调校功能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温度传感器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71" w:leftChars="-34" w:right="-82" w:rightChars="-39"/>
              <w:jc w:val="both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</w:t>
            </w:r>
            <w:r>
              <w:rPr>
                <w:rFonts w:ascii="宋体" w:hAnsi="宋体" w:cs="宋体"/>
                <w:color w:val="auto"/>
                <w:kern w:val="0"/>
                <w:szCs w:val="18"/>
              </w:rPr>
              <w:t>煤矿用温度传感器通用技术条件</w:t>
            </w: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MT</w:t>
            </w:r>
            <w:r>
              <w:rPr>
                <w:rFonts w:hint="eastAsia" w:ascii="宋体" w:hAnsi="宋体"/>
                <w:color w:val="auto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Cs w:val="18"/>
              </w:rPr>
              <w:t xml:space="preserve"> 381-2007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工作电流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35.6</w:t>
            </w:r>
          </w:p>
        </w:tc>
        <w:tc>
          <w:tcPr>
            <w:tcW w:w="2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红外温度传感器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矿用红外测温仪通用技术条件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MT/T 1111-2011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基本功能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电源及充电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测量范围和基本误差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重复性测试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报警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值与设定值差值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报警声级强度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电源适应性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.10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36.11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工频耐压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粉尘浓度传感器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外观与结构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《煤矿用粉尘浓度传感器》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MT/T 1102-2009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零位稳定性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最大启动电流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37.6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</w:rPr>
              <w:t>最大工作电流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37.7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37.8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粉尘采样器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外观与结构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《粉尘采样器》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GB/T 20964-2007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采样流量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采样流量误差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采样头气密性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采样时间误差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风速传感器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《矿用风速传感器》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color w:val="auto"/>
                <w:szCs w:val="18"/>
              </w:rPr>
              <w:t xml:space="preserve"> 448-2008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介电强度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风速表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外观和运动零、部件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《煤矿用风速表》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MT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color w:val="auto"/>
                <w:szCs w:val="18"/>
              </w:rPr>
              <w:t xml:space="preserve"> 380-2007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不做机械式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起动风速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风速测量范围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风速误差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计时误差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绝缘强度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矿用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差压传感器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基本误差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《矿用差压传感器通用技术条件》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>MT</w:t>
            </w:r>
            <w:r>
              <w:rPr>
                <w:rFonts w:hint="eastAsia" w:ascii="宋体" w:hAnsi="宋体" w:cs="宋体"/>
                <w:color w:val="auto"/>
                <w:kern w:val="0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color w:val="auto"/>
                <w:kern w:val="0"/>
                <w:szCs w:val="18"/>
              </w:rPr>
              <w:t xml:space="preserve"> 393-1995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重复性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回程误差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密封性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过载性能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电源波动性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.9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绝缘耐压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矿用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烟雾传感器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71" w:leftChars="-34" w:right="-82" w:rightChars="-39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矿用烟雾传感器通用技术条件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MT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382-2011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主要技术参数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lang w:val="en-US" w:eastAsia="zh-CN" w:bidi="ar-SA"/>
              </w:rPr>
              <w:t>工作稳定性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val="en-US" w:eastAsia="zh-CN"/>
              </w:rPr>
              <w:t>频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耐压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气体检测报警仪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功能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《作业场所环境气体检测报警仪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通用技术要求》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GB 12358-2006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检测误差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报警误差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重复性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电压波动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响应时间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只做常态下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szCs w:val="18"/>
                <w:highlight w:val="none"/>
              </w:rPr>
              <w:t>.8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耐压</w:t>
            </w: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水位传感器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44.1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结构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《矿用水位传感器通用技术条件》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MT/T 825-1999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外观质量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绝缘电阻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工作电压范围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最大工作电流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.6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传输距离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.7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18"/>
                <w:highlight w:val="none"/>
              </w:rPr>
              <w:t>报警方式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防爆蓄电池电机车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45.1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一般要求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71" w:leftChars="-34" w:right="-42" w:rightChars="-20"/>
              <w:jc w:val="left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煤矿在用电机车检测检验规范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》</w:t>
            </w:r>
          </w:p>
          <w:p>
            <w:pPr>
              <w:widowControl/>
              <w:spacing w:line="240" w:lineRule="exact"/>
              <w:ind w:left="-71" w:leftChars="-34" w:right="-42" w:rightChars="-2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NB/T 10049-2018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45.2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18"/>
                <w:highlight w:val="none"/>
                <w:lang w:val="en-US" w:eastAsia="zh-CN"/>
              </w:rPr>
              <w:t>制动性能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45.3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安全保护装置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45.4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机械部件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45.5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highlight w:val="none"/>
                <w:lang w:val="en-US" w:eastAsia="zh-CN" w:bidi="ar-SA"/>
              </w:rPr>
              <w:t>电气部件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（以下空白）</w:t>
      </w:r>
    </w:p>
    <w:p>
      <w:pPr>
        <w:pStyle w:val="5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</w:pPr>
    </w:p>
    <w:p>
      <w:pPr>
        <w:pStyle w:val="5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  <w:t>资 质 证 书</w:t>
      </w:r>
    </w:p>
    <w:p>
      <w:pPr>
        <w:pStyle w:val="5"/>
        <w:snapToGrid w:val="0"/>
        <w:ind w:left="0" w:leftChars="-200" w:hanging="420" w:hangingChars="200"/>
        <w:jc w:val="center"/>
        <w:rPr>
          <w:rFonts w:hint="eastAsia" w:ascii="宋体" w:hAnsi="宋体" w:cs="Times New Roman"/>
          <w:bCs/>
          <w:szCs w:val="22"/>
          <w:lang w:val="en-US" w:eastAsia="zh-CN"/>
        </w:rPr>
      </w:pPr>
      <w:r>
        <w:rPr>
          <w:rFonts w:hint="eastAsia" w:hAnsi="宋体" w:cs="Times New Roman"/>
          <w:bCs/>
          <w:szCs w:val="22"/>
          <w:lang w:val="en-US" w:eastAsia="zh-CN"/>
        </w:rPr>
        <w:t xml:space="preserve">   </w:t>
      </w:r>
      <w:r>
        <w:rPr>
          <w:rFonts w:hint="eastAsia" w:ascii="宋体" w:hAnsi="宋体" w:cs="Times New Roman"/>
          <w:bCs/>
          <w:szCs w:val="22"/>
          <w:lang w:val="en-US" w:eastAsia="zh-CN"/>
        </w:rPr>
        <w:t>授权签字人及授权签字领域</w:t>
      </w:r>
    </w:p>
    <w:p>
      <w:pPr>
        <w:pStyle w:val="5"/>
        <w:snapToGrid w:val="0"/>
        <w:ind w:left="0" w:leftChars="-200" w:hanging="420" w:hangingChars="200"/>
        <w:jc w:val="center"/>
        <w:rPr>
          <w:rFonts w:hint="default" w:ascii="宋体" w:hAnsi="宋体" w:cs="Times New Roman"/>
          <w:bCs/>
          <w:szCs w:val="22"/>
          <w:lang w:val="en-US" w:eastAsia="zh-CN"/>
        </w:rPr>
      </w:pPr>
    </w:p>
    <w:p>
      <w:pPr>
        <w:pStyle w:val="5"/>
        <w:snapToGrid w:val="0"/>
        <w:ind w:left="5040" w:leftChars="0" w:hanging="5040" w:hangingChars="21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机构名称：贵州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>高精检测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有限公司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地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址：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州省六盘水市盘州市两河街道</w:t>
      </w:r>
    </w:p>
    <w:p>
      <w:pPr>
        <w:pStyle w:val="5"/>
        <w:snapToGrid w:val="0"/>
        <w:ind w:left="5040" w:leftChars="0" w:hanging="5040" w:hangingChars="2100"/>
        <w:jc w:val="left"/>
        <w:rPr>
          <w:rFonts w:hint="eastAsia" w:hAnsi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场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所：贵州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>高精检测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 xml:space="preserve">有限公司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兴盘路科研大楼1层、7层</w:t>
      </w:r>
    </w:p>
    <w:p>
      <w:pPr>
        <w:pStyle w:val="5"/>
        <w:snapToGrid w:val="0"/>
        <w:ind w:left="0" w:leftChars="0" w:firstLine="0" w:firstLineChars="0"/>
        <w:jc w:val="left"/>
        <w:rPr>
          <w:rFonts w:hint="default" w:ascii="宋体" w:hAnsi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黔 煤监 23  02</w:t>
      </w: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有效期至：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2028年 1月</w:t>
      </w:r>
      <w:r>
        <w:rPr>
          <w:rFonts w:hint="eastAsia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     </w:t>
      </w:r>
      <w:bookmarkEnd w:id="0"/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  </w:t>
      </w:r>
    </w:p>
    <w:tbl>
      <w:tblPr>
        <w:tblStyle w:val="10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75"/>
        <w:gridCol w:w="387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授权签字人姓名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授权签字领域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蒋远义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本次批准项目全领域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黄荣举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本次批准项目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除无损探伤外全领域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（以下空白）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（以下空白）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4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58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mONZ41AAAAAgBAAAPAAAAAAAAAAEAIAAAADgAAABkcnMvZG93bnJldi54bWxQSwEC&#10;FAAUAAAACACHTuJAczUJUxsCAAAn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mI0YTk2ZmYwODcwNGI3ZjI1MmE1ZDM4YjQxODkifQ=="/>
  </w:docVars>
  <w:rsids>
    <w:rsidRoot w:val="457E7B2F"/>
    <w:rsid w:val="00015DE6"/>
    <w:rsid w:val="00094491"/>
    <w:rsid w:val="001332DC"/>
    <w:rsid w:val="001F508A"/>
    <w:rsid w:val="001F7912"/>
    <w:rsid w:val="0028591D"/>
    <w:rsid w:val="002A3291"/>
    <w:rsid w:val="002F4168"/>
    <w:rsid w:val="00355FFB"/>
    <w:rsid w:val="00357B9F"/>
    <w:rsid w:val="004E586D"/>
    <w:rsid w:val="0057424E"/>
    <w:rsid w:val="006F4843"/>
    <w:rsid w:val="007549E4"/>
    <w:rsid w:val="007761E0"/>
    <w:rsid w:val="00831B14"/>
    <w:rsid w:val="00862870"/>
    <w:rsid w:val="008A748A"/>
    <w:rsid w:val="008D30E5"/>
    <w:rsid w:val="009F77E2"/>
    <w:rsid w:val="00A42B20"/>
    <w:rsid w:val="00A85A56"/>
    <w:rsid w:val="00B54187"/>
    <w:rsid w:val="00BB24CA"/>
    <w:rsid w:val="00BB7465"/>
    <w:rsid w:val="00C17681"/>
    <w:rsid w:val="00C65420"/>
    <w:rsid w:val="00D2544C"/>
    <w:rsid w:val="00F04ED1"/>
    <w:rsid w:val="055165DE"/>
    <w:rsid w:val="05A74884"/>
    <w:rsid w:val="0858458A"/>
    <w:rsid w:val="08CF48BD"/>
    <w:rsid w:val="0D3A1D16"/>
    <w:rsid w:val="0EA24736"/>
    <w:rsid w:val="0FCF3281"/>
    <w:rsid w:val="111A75B4"/>
    <w:rsid w:val="116C5069"/>
    <w:rsid w:val="12231503"/>
    <w:rsid w:val="14896014"/>
    <w:rsid w:val="14AA1FCC"/>
    <w:rsid w:val="14E47AD8"/>
    <w:rsid w:val="17F558E2"/>
    <w:rsid w:val="19D103AD"/>
    <w:rsid w:val="1BB14576"/>
    <w:rsid w:val="1C3F037D"/>
    <w:rsid w:val="1C7A4F20"/>
    <w:rsid w:val="1D334FF8"/>
    <w:rsid w:val="1EF06DE3"/>
    <w:rsid w:val="20053E89"/>
    <w:rsid w:val="215E6529"/>
    <w:rsid w:val="234C1956"/>
    <w:rsid w:val="276854B7"/>
    <w:rsid w:val="29BE5276"/>
    <w:rsid w:val="2BE054A4"/>
    <w:rsid w:val="2DBE43BE"/>
    <w:rsid w:val="2E755065"/>
    <w:rsid w:val="2EF910FE"/>
    <w:rsid w:val="30111547"/>
    <w:rsid w:val="305254C3"/>
    <w:rsid w:val="31D8378E"/>
    <w:rsid w:val="32760A09"/>
    <w:rsid w:val="32C03100"/>
    <w:rsid w:val="35DF6F9D"/>
    <w:rsid w:val="399B34CA"/>
    <w:rsid w:val="3BEDEB10"/>
    <w:rsid w:val="3CE66652"/>
    <w:rsid w:val="3EFEEEB7"/>
    <w:rsid w:val="4097447F"/>
    <w:rsid w:val="439E575E"/>
    <w:rsid w:val="44EA5040"/>
    <w:rsid w:val="457E7B2F"/>
    <w:rsid w:val="4597509C"/>
    <w:rsid w:val="46121D02"/>
    <w:rsid w:val="48F64399"/>
    <w:rsid w:val="4B6A43A0"/>
    <w:rsid w:val="4C6A109C"/>
    <w:rsid w:val="4C6F1F6D"/>
    <w:rsid w:val="5003619A"/>
    <w:rsid w:val="50A73072"/>
    <w:rsid w:val="51B510E0"/>
    <w:rsid w:val="52B256B5"/>
    <w:rsid w:val="53363B21"/>
    <w:rsid w:val="555239DA"/>
    <w:rsid w:val="55DD3E0E"/>
    <w:rsid w:val="587B7509"/>
    <w:rsid w:val="589A4D7B"/>
    <w:rsid w:val="5E1B5E44"/>
    <w:rsid w:val="5F731BD3"/>
    <w:rsid w:val="5FFE2940"/>
    <w:rsid w:val="61AD439F"/>
    <w:rsid w:val="62501427"/>
    <w:rsid w:val="632871E4"/>
    <w:rsid w:val="643F1951"/>
    <w:rsid w:val="65E120E1"/>
    <w:rsid w:val="686459B4"/>
    <w:rsid w:val="69810A92"/>
    <w:rsid w:val="6A4C7282"/>
    <w:rsid w:val="6A7265DA"/>
    <w:rsid w:val="6AD229ED"/>
    <w:rsid w:val="6BF93768"/>
    <w:rsid w:val="6D8A585E"/>
    <w:rsid w:val="6DF1704B"/>
    <w:rsid w:val="6E195C5E"/>
    <w:rsid w:val="6E5E3E7E"/>
    <w:rsid w:val="6F8C21B9"/>
    <w:rsid w:val="71893081"/>
    <w:rsid w:val="71924DCD"/>
    <w:rsid w:val="72F15DB5"/>
    <w:rsid w:val="730B0551"/>
    <w:rsid w:val="733531FA"/>
    <w:rsid w:val="73904114"/>
    <w:rsid w:val="750C2CDE"/>
    <w:rsid w:val="7A241D50"/>
    <w:rsid w:val="7A445413"/>
    <w:rsid w:val="7AFF25F1"/>
    <w:rsid w:val="7BCFD095"/>
    <w:rsid w:val="7D97A865"/>
    <w:rsid w:val="7E1A5B16"/>
    <w:rsid w:val="7F811DF3"/>
    <w:rsid w:val="7FAE00C2"/>
    <w:rsid w:val="7FFF539F"/>
    <w:rsid w:val="AFDB33C8"/>
    <w:rsid w:val="BD696585"/>
    <w:rsid w:val="BF5B710F"/>
    <w:rsid w:val="D79FEE57"/>
    <w:rsid w:val="E7F5D094"/>
    <w:rsid w:val="EBFBD4D9"/>
    <w:rsid w:val="EDC8608A"/>
    <w:rsid w:val="EDDFFA5E"/>
    <w:rsid w:val="EFBF0982"/>
    <w:rsid w:val="EFFE38BE"/>
    <w:rsid w:val="EFFF4018"/>
    <w:rsid w:val="F57E6DC2"/>
    <w:rsid w:val="F6FB5653"/>
    <w:rsid w:val="FBF846C2"/>
    <w:rsid w:val="FDEBC2B0"/>
    <w:rsid w:val="FDFF93FE"/>
    <w:rsid w:val="FFDE6412"/>
    <w:rsid w:val="FFFE5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无间隔1"/>
    <w:basedOn w:val="15"/>
    <w:qFormat/>
    <w:uiPriority w:val="0"/>
    <w:rPr>
      <w:rFonts w:ascii="Calibri" w:hAnsi="Calibri"/>
      <w:sz w:val="28"/>
    </w:rPr>
  </w:style>
  <w:style w:type="paragraph" w:customStyle="1" w:styleId="1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6">
    <w:name w:val="页脚 字符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正文-公1"/>
    <w:basedOn w:val="1"/>
    <w:next w:val="1"/>
    <w:qFormat/>
    <w:uiPriority w:val="99"/>
    <w:pPr>
      <w:ind w:firstLine="200" w:firstLineChars="200"/>
      <w:jc w:val="left"/>
    </w:pPr>
    <w:rPr>
      <w:rFonts w:eastAsia="仿宋_GB2312"/>
      <w:szCs w:val="24"/>
    </w:rPr>
  </w:style>
  <w:style w:type="character" w:customStyle="1" w:styleId="19">
    <w:name w:val="font21"/>
    <w:basedOn w:val="11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41"/>
    <w:basedOn w:val="11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4207</Words>
  <Characters>5889</Characters>
  <Lines>12</Lines>
  <Paragraphs>3</Paragraphs>
  <TotalTime>16</TotalTime>
  <ScaleCrop>false</ScaleCrop>
  <LinksUpToDate>false</LinksUpToDate>
  <CharactersWithSpaces>6031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2020-06-18T16:56:00Z</dcterms:created>
  <dc:creator>何足道哉</dc:creator>
  <cp:lastModifiedBy>ysgz</cp:lastModifiedBy>
  <cp:lastPrinted>2021-01-22T19:44:00Z</cp:lastPrinted>
  <dcterms:modified xsi:type="dcterms:W3CDTF">2023-01-04T17:02:23Z</dcterms:modified>
  <dc:title>2021年 第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A1CEECBB07014FDDA7416C8B968688E3</vt:lpwstr>
  </property>
</Properties>
</file>