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附件:</w:t>
      </w:r>
    </w:p>
    <w:p>
      <w:pPr>
        <w:ind w:firstLine="616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2"/>
          <w:szCs w:val="32"/>
          <w:lang w:val="en-US" w:eastAsia="zh-CN"/>
        </w:rPr>
        <w:t>贵州安和永驻科技有限公司检测检验机构信息公开表</w:t>
      </w:r>
    </w:p>
    <w:tbl>
      <w:tblPr>
        <w:tblStyle w:val="8"/>
        <w:tblW w:w="9687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658"/>
        <w:gridCol w:w="807"/>
        <w:gridCol w:w="581"/>
        <w:gridCol w:w="2071"/>
        <w:gridCol w:w="1935"/>
        <w:gridCol w:w="1087"/>
        <w:gridCol w:w="8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" w:type="dxa"/>
          <w:trHeight w:val="459" w:hRule="atLeast"/>
          <w:jc w:val="center"/>
        </w:trPr>
        <w:tc>
          <w:tcPr>
            <w:tcW w:w="2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机构名称</w:t>
            </w:r>
          </w:p>
        </w:tc>
        <w:tc>
          <w:tcPr>
            <w:tcW w:w="730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贵州安和永驻科技有限公司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" w:type="dxa"/>
          <w:trHeight w:val="323" w:hRule="atLeast"/>
          <w:jc w:val="center"/>
        </w:trPr>
        <w:tc>
          <w:tcPr>
            <w:tcW w:w="375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统一社会信用代码/注册号</w:t>
            </w:r>
          </w:p>
        </w:tc>
        <w:tc>
          <w:tcPr>
            <w:tcW w:w="59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/>
                <w:color w:val="auto"/>
                <w:spacing w:val="20"/>
                <w:sz w:val="24"/>
                <w:szCs w:val="24"/>
              </w:rPr>
              <w:t>91520115MA6HP2G15</w:t>
            </w:r>
            <w:r>
              <w:rPr>
                <w:rFonts w:hint="eastAsia"/>
                <w:color w:val="auto"/>
                <w:spacing w:val="2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" w:type="dxa"/>
          <w:trHeight w:val="308" w:hRule="atLeast"/>
          <w:jc w:val="center"/>
        </w:trPr>
        <w:tc>
          <w:tcPr>
            <w:tcW w:w="23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通信地址</w:t>
            </w:r>
          </w:p>
        </w:tc>
        <w:tc>
          <w:tcPr>
            <w:tcW w:w="34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-89" w:rightChars="0"/>
              <w:jc w:val="lef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仿宋_GB2312" w:hAnsi="Helvetica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贵阳市云岩区蔡关路1号贵州理工学院院内50栋一层至四层</w:t>
            </w:r>
          </w:p>
        </w:tc>
        <w:tc>
          <w:tcPr>
            <w:tcW w:w="1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19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550001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" w:type="dxa"/>
          <w:trHeight w:val="308" w:hRule="atLeast"/>
          <w:jc w:val="center"/>
        </w:trPr>
        <w:tc>
          <w:tcPr>
            <w:tcW w:w="23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实验室地址</w:t>
            </w:r>
          </w:p>
        </w:tc>
        <w:tc>
          <w:tcPr>
            <w:tcW w:w="34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仿宋_GB2312" w:hAnsi="Helvetica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贵阳市云岩区蔡关路1号贵州理工学院院内50栋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55000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" w:type="dxa"/>
          <w:trHeight w:val="323" w:hRule="atLeast"/>
          <w:jc w:val="center"/>
        </w:trPr>
        <w:tc>
          <w:tcPr>
            <w:tcW w:w="23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机构信息公开网址</w:t>
            </w:r>
          </w:p>
        </w:tc>
        <w:tc>
          <w:tcPr>
            <w:tcW w:w="34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 www.gzahyz.cn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 黄兴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" w:type="dxa"/>
          <w:trHeight w:val="308" w:hRule="atLeast"/>
          <w:jc w:val="center"/>
        </w:trPr>
        <w:tc>
          <w:tcPr>
            <w:tcW w:w="23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机构联系人</w:t>
            </w:r>
          </w:p>
        </w:tc>
        <w:tc>
          <w:tcPr>
            <w:tcW w:w="34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李昊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 0851-8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4811970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" w:type="dxa"/>
          <w:trHeight w:val="308" w:hRule="atLeast"/>
          <w:jc w:val="center"/>
        </w:trPr>
        <w:tc>
          <w:tcPr>
            <w:tcW w:w="23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主持检测检验工作负责人</w:t>
            </w:r>
          </w:p>
        </w:tc>
        <w:tc>
          <w:tcPr>
            <w:tcW w:w="34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王杰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技术负责人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田贵权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" w:type="dxa"/>
          <w:trHeight w:val="308" w:hRule="atLeast"/>
          <w:jc w:val="center"/>
        </w:trPr>
        <w:tc>
          <w:tcPr>
            <w:tcW w:w="23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资质证书编号</w:t>
            </w:r>
          </w:p>
        </w:tc>
        <w:tc>
          <w:tcPr>
            <w:tcW w:w="34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 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黔 煤监 20  03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发证日期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2020年12月14日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" w:type="dxa"/>
          <w:trHeight w:val="308" w:hRule="atLeast"/>
          <w:jc w:val="center"/>
        </w:trPr>
        <w:tc>
          <w:tcPr>
            <w:tcW w:w="23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 资质证书批准部门</w:t>
            </w:r>
          </w:p>
        </w:tc>
        <w:tc>
          <w:tcPr>
            <w:tcW w:w="34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 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贵州省能源局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有效日期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2025年12月14日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9" w:type="dxa"/>
          <w:trHeight w:val="439" w:hRule="atLeast"/>
          <w:jc w:val="center"/>
        </w:trPr>
        <w:tc>
          <w:tcPr>
            <w:tcW w:w="9678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批准的业务范围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304" w:hRule="atLeast"/>
          <w:jc w:val="center"/>
        </w:trPr>
        <w:tc>
          <w:tcPr>
            <w:tcW w:w="711" w:type="dxa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58" w:type="dxa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产品/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产品类别</w:t>
            </w:r>
          </w:p>
        </w:tc>
        <w:tc>
          <w:tcPr>
            <w:tcW w:w="3459" w:type="dxa"/>
            <w:gridSpan w:val="3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项目/参数</w:t>
            </w:r>
          </w:p>
        </w:tc>
        <w:tc>
          <w:tcPr>
            <w:tcW w:w="1935" w:type="dxa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依据标准（方法）名称及编号（含年号）</w:t>
            </w:r>
          </w:p>
        </w:tc>
        <w:tc>
          <w:tcPr>
            <w:tcW w:w="1087" w:type="dxa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限制范围</w:t>
            </w:r>
          </w:p>
        </w:tc>
        <w:tc>
          <w:tcPr>
            <w:tcW w:w="828" w:type="dxa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35" w:hRule="atLeast"/>
          <w:jc w:val="center"/>
        </w:trPr>
        <w:tc>
          <w:tcPr>
            <w:tcW w:w="711" w:type="dxa"/>
            <w:vMerge w:val="continue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652" w:type="dxa"/>
            <w:gridSpan w:val="2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935" w:type="dxa"/>
            <w:vMerge w:val="continue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u w:val="none"/>
              </w:rPr>
              <w:t>煤矿在用主通风机系统</w:t>
            </w:r>
          </w:p>
        </w:tc>
        <w:tc>
          <w:tcPr>
            <w:tcW w:w="80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1.1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仿宋_GB2312" w:cs="宋体"/>
                <w:color w:val="auto"/>
                <w:sz w:val="21"/>
                <w:szCs w:val="21"/>
                <w:u w:val="none"/>
                <w:shd w:val="clear"/>
              </w:rPr>
              <w:t>证书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《煤矿在用主通风机系统安全检测检验规范》AQ1011-2005</w:t>
            </w:r>
          </w:p>
        </w:tc>
        <w:tc>
          <w:tcPr>
            <w:tcW w:w="108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仿宋_GB2312" w:cs="宋体"/>
                <w:color w:val="auto"/>
                <w:sz w:val="21"/>
                <w:szCs w:val="21"/>
                <w:u w:val="none"/>
                <w:shd w:val="clear"/>
              </w:rPr>
              <w:t>外观质量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仿宋_GB2312" w:cs="宋体"/>
                <w:color w:val="auto"/>
                <w:sz w:val="21"/>
                <w:szCs w:val="21"/>
                <w:u w:val="none"/>
                <w:shd w:val="clear"/>
              </w:rPr>
              <w:t>通风机运行功率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仿宋_GB2312" w:cs="宋体"/>
                <w:color w:val="auto"/>
                <w:sz w:val="21"/>
                <w:szCs w:val="21"/>
                <w:u w:val="none"/>
                <w:shd w:val="clear"/>
              </w:rPr>
              <w:t>安全保护及</w:t>
            </w:r>
            <w:r>
              <w:rPr>
                <w:rStyle w:val="9"/>
                <w:rFonts w:hint="eastAsia" w:ascii="宋体" w:hAnsi="宋体" w:cs="宋体"/>
                <w:color w:val="auto"/>
                <w:sz w:val="21"/>
                <w:szCs w:val="21"/>
                <w:u w:val="none"/>
                <w:shd w:val="clear"/>
              </w:rPr>
              <w:t>设施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仿宋_GB2312" w:cs="宋体"/>
                <w:color w:val="auto"/>
                <w:sz w:val="21"/>
                <w:szCs w:val="21"/>
                <w:u w:val="none"/>
                <w:shd w:val="clear"/>
              </w:rPr>
              <w:t>通风机运行效率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仿宋_GB2312" w:cs="宋体"/>
                <w:color w:val="auto"/>
                <w:sz w:val="21"/>
                <w:szCs w:val="21"/>
                <w:u w:val="none"/>
                <w:shd w:val="clear"/>
              </w:rPr>
              <w:t>风量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仿宋_GB2312" w:cs="宋体"/>
                <w:color w:val="auto"/>
                <w:sz w:val="21"/>
                <w:szCs w:val="21"/>
                <w:u w:val="none"/>
                <w:shd w:val="clear"/>
              </w:rPr>
              <w:t>风压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振动速度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1.9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仿宋_GB2312" w:cs="宋体"/>
                <w:color w:val="auto"/>
                <w:sz w:val="21"/>
                <w:szCs w:val="21"/>
                <w:u w:val="none"/>
                <w:shd w:val="clear"/>
              </w:rPr>
              <w:t>噪声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1.10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仿宋_GB2312" w:cs="宋体"/>
                <w:color w:val="auto"/>
                <w:sz w:val="21"/>
                <w:szCs w:val="21"/>
                <w:u w:val="none"/>
                <w:shd w:val="clear"/>
              </w:rPr>
              <w:t>轴承与电机温度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1.11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电动机绝缘电阻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1.12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接地电阻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1.13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叶片径向间隙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90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561"/>
              </w:tabs>
              <w:spacing w:line="300" w:lineRule="exact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u w:val="none"/>
              </w:rPr>
              <w:t>2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561"/>
              </w:tabs>
              <w:spacing w:line="30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u w:val="none"/>
              </w:rPr>
              <w:t>煤矿在用空气压缩机</w:t>
            </w:r>
          </w:p>
        </w:tc>
        <w:tc>
          <w:tcPr>
            <w:tcW w:w="80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2.1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证书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《煤矿在用空气压缩机安全检测检验规范》AQ1013-2005</w:t>
            </w:r>
          </w:p>
        </w:tc>
        <w:tc>
          <w:tcPr>
            <w:tcW w:w="108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证件审查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安全保护装置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90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温度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压缩机油闪点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容积流量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排气压力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转速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2.9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比功率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2.10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噪声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2.11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振动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</w:t>
            </w:r>
          </w:p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煤矿在用主排水系统</w:t>
            </w:r>
          </w:p>
        </w:tc>
        <w:tc>
          <w:tcPr>
            <w:tcW w:w="80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3.1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证书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《煤矿在用主排水系 统安全检测检验规范》AQ1012-2005</w:t>
            </w:r>
          </w:p>
        </w:tc>
        <w:tc>
          <w:tcPr>
            <w:tcW w:w="108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流量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扬程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转速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排水系统的检测(排水能力)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振动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噪声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管路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3.9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吨水百米电耗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3.10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水泵效率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3.11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电参数的测量(电动机功率)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3.12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起动时间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3.13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机房温度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165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煤矿在用摩擦式提升机系统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4.1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证书</w:t>
            </w:r>
          </w:p>
        </w:tc>
        <w:tc>
          <w:tcPr>
            <w:tcW w:w="193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《煤矿在用摩擦式提升机系统安全检测检验规范》AQ1014-2005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机房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提升装置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提升机制动系统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液压系统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保护装置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信号装置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电气系统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煤矿在用缠绕式提升机系统</w:t>
            </w:r>
          </w:p>
        </w:tc>
        <w:tc>
          <w:tcPr>
            <w:tcW w:w="80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5.1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证书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《煤矿在用缠绕式提升机系统安全检测检验规范》AQ1015-2005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《煤矿安全规程》</w:t>
            </w:r>
          </w:p>
        </w:tc>
        <w:tc>
          <w:tcPr>
            <w:tcW w:w="108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机房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提升装置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提升机制动系统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液压系统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保护装置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信号装置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电气系统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165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煤矿在用提升绞车系统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6.1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证书</w:t>
            </w:r>
          </w:p>
        </w:tc>
        <w:tc>
          <w:tcPr>
            <w:tcW w:w="1935" w:type="dxa"/>
            <w:vMerge w:val="restart"/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Style w:val="10"/>
                <w:rFonts w:hint="eastAsia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Style w:val="10"/>
                <w:rFonts w:hint="eastAsia" w:cs="宋体"/>
                <w:b w:val="0"/>
                <w:color w:val="auto"/>
                <w:kern w:val="2"/>
                <w:sz w:val="21"/>
                <w:szCs w:val="21"/>
              </w:rPr>
              <w:t>《煤矿在用提升绞车系统安全检测检验规范》AQ1016-2005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Courier New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cs="宋体"/>
                <w:b w:val="0"/>
                <w:color w:val="auto"/>
                <w:kern w:val="2"/>
                <w:sz w:val="21"/>
                <w:szCs w:val="21"/>
              </w:rPr>
              <w:t>《煤矿安全规程》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机房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提升装置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提升机制动系统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液压系统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保护装置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信号装置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电气系统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煤矿用带式输送机</w:t>
            </w:r>
          </w:p>
        </w:tc>
        <w:tc>
          <w:tcPr>
            <w:tcW w:w="80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7.1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证书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《煤矿用带式输送机技术条件》MT820-2006</w:t>
            </w:r>
          </w:p>
        </w:tc>
        <w:tc>
          <w:tcPr>
            <w:tcW w:w="108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安全要求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外观质量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带速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电机功率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加速度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减速度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运行平稳性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7.9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输送带跑偏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7.10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制动装置和逆行装置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7.11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保护装置和电控装置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7.12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噪声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7.13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张紧装置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7.14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液压元件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7.15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清扫器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161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165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煤矿在用瓦斯抽放泵（水环式真空泵）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8.1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证书</w:t>
            </w:r>
          </w:p>
        </w:tc>
        <w:tc>
          <w:tcPr>
            <w:tcW w:w="193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《水环式真空泵和水环式压缩机试验方法》GB/T13929-2010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《水环式真空泵和水环式压缩机气量测定方法》GB/T13930-2010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《煤矿安全规程》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90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8.2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外观质量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8.3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吸入压力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8.4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气量流量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8.5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排出压力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8.6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转速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8.7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轴功率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8.8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等温效率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8.9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温度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8.10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湿度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8.11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大气压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8.12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设施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8.13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振动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8.14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噪声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143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</w:rPr>
              <w:t>9</w:t>
            </w:r>
          </w:p>
        </w:tc>
        <w:tc>
          <w:tcPr>
            <w:tcW w:w="165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架空乘人装置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9.1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基本要求</w:t>
            </w:r>
          </w:p>
        </w:tc>
        <w:tc>
          <w:tcPr>
            <w:tcW w:w="193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《煤矿用架空乘人装置安全检验规范》AQ1038-2007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《煤矿安全规程》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9.2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证书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9.3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使用性能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9.4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负载运行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9.5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噪声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9.6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钢丝绳的导向装置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9.7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空载运行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9.8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制动装置性能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9.9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托轮性能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9.10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抱索器抗滑性能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9.11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尾轮及张紧装置性能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9.12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液压系统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9.13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安全防护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9.14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运行速度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煤矿在用窄轨车辆连接链</w:t>
            </w:r>
          </w:p>
        </w:tc>
        <w:tc>
          <w:tcPr>
            <w:tcW w:w="80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10.1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证书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《煤矿在用窄轨车辆连接链检验规范》AQ1112-2014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《煤矿安全规程》</w:t>
            </w:r>
          </w:p>
        </w:tc>
        <w:tc>
          <w:tcPr>
            <w:tcW w:w="108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10.2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外观检查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10.3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二倍最大静荷重试验时的永久伸长率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165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煤矿在用窄轨车辆连接插销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11.1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证书</w:t>
            </w:r>
          </w:p>
        </w:tc>
        <w:tc>
          <w:tcPr>
            <w:tcW w:w="193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《煤矿在用窄轨车辆连接插销检验规范》AQ1113-2014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《煤矿安全规程》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11.2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外观检查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127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11.3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二倍最大静荷重试验时的永久弯曲变形量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</w:rPr>
              <w:t>12</w:t>
            </w:r>
          </w:p>
        </w:tc>
        <w:tc>
          <w:tcPr>
            <w:tcW w:w="165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煤矿在用重要用途钢丝绳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12.1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安全系数</w:t>
            </w:r>
          </w:p>
        </w:tc>
        <w:tc>
          <w:tcPr>
            <w:tcW w:w="193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《煤矿重要用途钢丝绳验收技术条件》MT/T716-2019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钢丝绳绳径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钢丝直径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拆股钢丝抗拉强度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拆股钢丝反复弯曲次数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拆股钢丝扭转次数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三项低值钢丝的允许总数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煤矿在用重要用途钢丝绳</w:t>
            </w:r>
          </w:p>
        </w:tc>
        <w:tc>
          <w:tcPr>
            <w:tcW w:w="80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12.1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钢丝绳直径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《煤矿重要用途钢丝绳性能测定方法及判定规则》MT/T717-2019 </w:t>
            </w:r>
          </w:p>
        </w:tc>
        <w:tc>
          <w:tcPr>
            <w:tcW w:w="108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拆股钢丝破断拉力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钢丝的平均抗拉强度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拆股钢丝反复弯曲次数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不合格钢丝断面积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安全系数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346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5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煤矿在用无极绳绞车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13.1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工作条件</w:t>
            </w:r>
          </w:p>
        </w:tc>
        <w:tc>
          <w:tcPr>
            <w:tcW w:w="193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《金属非金属矿山提升钢丝绳检验规范》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AQ 2026-2010</w:t>
            </w:r>
          </w:p>
        </w:tc>
        <w:tc>
          <w:tcPr>
            <w:tcW w:w="108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13.2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基本要求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13.3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操纵性能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13.4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空运转试验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13.5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负荷转试验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13.6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制动性能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13.7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安全防护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5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煤矿在用单轨吊车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证书</w:t>
            </w:r>
          </w:p>
        </w:tc>
        <w:tc>
          <w:tcPr>
            <w:tcW w:w="193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《柴油机单轨吊机车》MT/T 883-2000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操纵系统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保护装置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指示仪表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离心限速器限速值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瓦斯超限报警断电保护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制动装置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紧急制动装置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14.9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照明灯的照度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14.10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噪声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14.11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零部件和铭牌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14.12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灭火器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14.13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最大运行速度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14.14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最大牵引力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14.15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紧急制动力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14.16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紧急制动装置施闸时的空动时间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14.17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制动距离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14.18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单轨吊机车的外观要求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煤矿用低浓度载体催化式甲烷传感器</w:t>
            </w:r>
          </w:p>
        </w:tc>
        <w:tc>
          <w:tcPr>
            <w:tcW w:w="80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《煤矿用低浓度载体催化式甲烷传感器》 AQ 6203-2006</w:t>
            </w:r>
          </w:p>
        </w:tc>
        <w:tc>
          <w:tcPr>
            <w:tcW w:w="108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遥控调校功能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显示值稳定性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工作电压范围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传输距离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报警功能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.9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.10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介电强度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便携式载体催化甲烷检测报警仪</w:t>
            </w:r>
          </w:p>
        </w:tc>
        <w:tc>
          <w:tcPr>
            <w:tcW w:w="80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《便携式载体催化甲烷检测报警仪》AQ 6207-2007</w:t>
            </w:r>
          </w:p>
        </w:tc>
        <w:tc>
          <w:tcPr>
            <w:tcW w:w="108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基本功能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电源及充电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显示值稳定性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工作时间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报警功能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.9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位置变动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.10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.11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绝缘介电强度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5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瓦斯抽放用热导式高浓度甲烷传感器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193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《瓦斯抽放用热导式高浓度甲烷传感器》AQ 6204-2006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遥控调校功能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显示值稳定性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工作电压范围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传输距离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报警功能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.9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.10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介电强度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煤矿用高低浓度甲烷传感器</w:t>
            </w:r>
          </w:p>
        </w:tc>
        <w:tc>
          <w:tcPr>
            <w:tcW w:w="80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《煤矿用高低浓度甲烷传感器》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AQ6206-2006</w:t>
            </w:r>
          </w:p>
        </w:tc>
        <w:tc>
          <w:tcPr>
            <w:tcW w:w="108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ind w:right="0" w:right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遥控调校功能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ind w:right="0" w:right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显示值稳定性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ind w:right="0" w:rightChars="0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基本误差测定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ind w:right="0" w:rightChars="0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转换点附加误差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ind w:right="0" w:rightChars="0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工作电压范围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ind w:right="0" w:rightChars="0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传输距离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ind w:right="0" w:rightChars="0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.9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ind w:right="0" w:rightChars="0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报警功能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.10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ind w:right="0" w:rightChars="0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ind w:right="0" w:rightChars="0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介电强度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5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光干涉式甲烷测定器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外观</w:t>
            </w:r>
          </w:p>
        </w:tc>
        <w:tc>
          <w:tcPr>
            <w:tcW w:w="193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《光干涉式甲烷测定器》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MT 28-2005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干涉条纹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稳定性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气密性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自由跌落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5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矿用一氧化碳传感器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193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《煤矿用电化学式一氧化碳传感器》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AQ 6205-2006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断电保护措施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遥控调校功能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显示值稳定性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工作电压范围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传输距离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.9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报警功能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  <w:lang w:val="en-US" w:eastAsia="zh-CN"/>
              </w:rPr>
              <w:t>限声级强度和声光信号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.10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介电强度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便携式一氧化碳测定器</w:t>
            </w:r>
          </w:p>
        </w:tc>
        <w:tc>
          <w:tcPr>
            <w:tcW w:w="80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 xml:space="preserve">外观及结构 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《煤矿用携带型电化学式一氧化碳测定器》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MT 703-2008</w:t>
            </w:r>
          </w:p>
        </w:tc>
        <w:tc>
          <w:tcPr>
            <w:tcW w:w="108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基本功能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电源及充电功能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基本误差和零点漂移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报警功能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hAnsi="宋体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  <w:lang w:val="en-US" w:eastAsia="zh-CN"/>
              </w:rPr>
              <w:t>限声级强度和声光信号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位置变动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电气安全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5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矿用激光甲烷传感器、红外低浓度甲烷传感器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 xml:space="preserve">外观、结构及气室防护 </w:t>
            </w:r>
          </w:p>
        </w:tc>
        <w:tc>
          <w:tcPr>
            <w:tcW w:w="193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《煤矿用非色散红外甲烷传感器》AQ  6211-2008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最小分辨率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显示值稳定性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传输距离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报警功能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  <w:lang w:val="en-US" w:eastAsia="zh-CN"/>
              </w:rPr>
              <w:t>限声级强度和声光信号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.9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介电强度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108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5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矿用氧气传感器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193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《煤矿用电化学式氧气传感器技术条件》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MT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/T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447-1995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90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警报功能</w:t>
            </w:r>
          </w:p>
        </w:tc>
        <w:tc>
          <w:tcPr>
            <w:tcW w:w="1935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  <w:lang w:val="en-US" w:eastAsia="zh-CN"/>
              </w:rPr>
              <w:t>限声级强度和声光信号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58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氧气测定器</w:t>
            </w: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193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《煤矿用携带型电化学式氧气测定器》MT 704-2008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电源及充电功能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基本误差和零点漂移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工作位置变动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警报功能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  <w:lang w:val="en-US" w:eastAsia="zh-CN"/>
              </w:rPr>
              <w:t>限声级强度和声光信号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电气安全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58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矿用二氧化碳传感器</w:t>
            </w: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193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《矿用二氧化碳传感器通用技术条件》AQ 1052-2008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遥控器调校功能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显示值稳定性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工作电压范围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传输距离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.8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报警功能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  <w:lang w:val="en-US" w:eastAsia="zh-CN"/>
              </w:rPr>
              <w:t>限声级强度和声光信号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.9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.10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介电强度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65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矿用温度传感器</w:t>
            </w: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193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煤矿用温度传感器通用技术条件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》MT 381-2007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工作电压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工作电流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传输距离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.8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介电强度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65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矿用粉尘浓度传感器</w:t>
            </w: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外观与结构</w:t>
            </w:r>
          </w:p>
        </w:tc>
        <w:tc>
          <w:tcPr>
            <w:tcW w:w="193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《煤矿用粉尘浓度传感器》MT/T 1102-2009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零位稳定性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传输距离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介电强度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65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粉尘采样器</w:t>
            </w: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外观与结构</w:t>
            </w:r>
          </w:p>
        </w:tc>
        <w:tc>
          <w:tcPr>
            <w:tcW w:w="193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《粉尘采样器》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GB/T 20964-2007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采样流量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采样流量误差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采样头气密性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采样时间误差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绝缘强度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65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直读式粉尘浓度测量仪</w:t>
            </w: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外观与结构</w:t>
            </w:r>
          </w:p>
        </w:tc>
        <w:tc>
          <w:tcPr>
            <w:tcW w:w="193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《直读式粉尘浓度测量仪通用技术条件》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MT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/T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163-2019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测量范围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测量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相对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误差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采样流量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采样流量误差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采样时间误差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90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.8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绝缘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强度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65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矿用风速传感器</w:t>
            </w: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193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《矿用风速传感器》MT 448-2008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90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工作电压范围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传输距离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介电强度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65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矿用风速表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外观和运动零、部件</w:t>
            </w:r>
          </w:p>
        </w:tc>
        <w:tc>
          <w:tcPr>
            <w:tcW w:w="193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《煤矿用风速表》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MT 380-2007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起动风速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风速测量范围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风速误差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计时误差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电子风表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电子风表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绝缘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强度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电子风表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65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差压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传感器</w:t>
            </w: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193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《矿用差压传感器通用技术条件》MT 393-1995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传输距离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重复性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回程误差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密封性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过载性能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电源波动性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65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硫化氢传感器、测定器、报警仪</w:t>
            </w: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193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《煤矿用硫化氢检测报警仪》MT 1084-2008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基本功能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报警性能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工作位置变动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报警仪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电气安全性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65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矿用烟雾传感器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193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矿用烟雾传感器通用技术条件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MT 382-2011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1"/>
                <w:szCs w:val="21"/>
                <w:lang w:val="en-US" w:eastAsia="zh-CN"/>
              </w:rPr>
              <w:t>工作电压范围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传输距离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工作稳定性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工作耐压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65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水位传感器</w:t>
            </w: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结构</w:t>
            </w:r>
          </w:p>
        </w:tc>
        <w:tc>
          <w:tcPr>
            <w:tcW w:w="193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《矿用水位传感器通用技术条件》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MT/T 825-1999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外观质量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工作电压范围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最大工作电流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65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Style w:val="9"/>
                <w:rFonts w:hint="eastAsia" w:ascii="宋体" w:hAnsi="宋体" w:cs="Times New Roman"/>
                <w:color w:val="auto"/>
                <w:sz w:val="21"/>
                <w:szCs w:val="21"/>
                <w:u w:val="none"/>
                <w:shd w:val="clear"/>
              </w:rPr>
              <w:t>钢锻件超声波探伤（轴类）</w:t>
            </w: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单个不连续缺陷（当量平底孔直径）</w:t>
            </w:r>
          </w:p>
        </w:tc>
        <w:tc>
          <w:tcPr>
            <w:tcW w:w="193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《钢锻件超声检验方法》</w:t>
            </w:r>
          </w:p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GB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T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6402-2008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密集形不连续缺陷（当量平底孔直径）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65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Autospacing="0" w:afterAutospacing="0"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通风机叶片</w:t>
            </w: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非线状（簇状）缺陷</w:t>
            </w:r>
          </w:p>
        </w:tc>
        <w:tc>
          <w:tcPr>
            <w:tcW w:w="193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《无损检测 渗透检测》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JB/T 9218-2015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线状缺陷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点线状缺陷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65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监测监控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系统</w:t>
            </w:r>
          </w:p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系统型号及生产单位</w:t>
            </w:r>
          </w:p>
        </w:tc>
        <w:tc>
          <w:tcPr>
            <w:tcW w:w="193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《煤矿安全监控系统升级改造验收规范》煤安监技装（2019）48号、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《煤矿安全监控系统及检测仪器使用管理规范》AQ1029-2019、《煤矿安全监控系统通用技术要求》AQ6201-2019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系统安标有效性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纳入安标管理的产品安标有效性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系统的本安关联特性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单机设备合格证明文件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系统图纸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设计方案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.8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综合报告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.9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现场系统组成设备的合规性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.10 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管理制度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.11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系统帐卡及报表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.12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系统历史运行有效性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.13 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系统历史数据完整性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.14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传输数字化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.15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抗电磁干扰能力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.16 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系统架构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.17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采掘面传感器的防护等级（IP65）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.18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分级报警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.19 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异地断电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.20 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多网多系统融合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.21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格式规范化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.22 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传感器设置自诊断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.23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传感器定期未标校提醒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.24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瓦斯涌出及火灾等预测预警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.25 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应急联动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.26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巡检周期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.27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备用电源供电时间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.28 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模拟量传输处理误差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.29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加密存储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65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矿用电缆阻燃性</w:t>
            </w: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负载条件下的燃烧</w:t>
            </w:r>
          </w:p>
        </w:tc>
        <w:tc>
          <w:tcPr>
            <w:tcW w:w="193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《煤矿用电缆阻燃性能的试验方法和判定规则》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MT/T 386-2011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单根电线电缆垂直燃烧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5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织物整芯阻燃输送带</w:t>
            </w: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覆盖层厚度</w:t>
            </w:r>
          </w:p>
        </w:tc>
        <w:tc>
          <w:tcPr>
            <w:tcW w:w="193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《煤矿用织物整芯阻燃输送带》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MT 914-2019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抗静电性能（表面电阻）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滚筒摩擦性能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喷灯燃烧性能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65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钢丝绳芯阻燃输送带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覆盖层厚度</w:t>
            </w:r>
          </w:p>
        </w:tc>
        <w:tc>
          <w:tcPr>
            <w:tcW w:w="193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《煤矿用钢丝绳芯阻燃输送带》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MT/T 668-2019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抗静电性能（表面电阻）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滚筒摩擦性能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喷灯燃烧性能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65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煤矿用风筒</w:t>
            </w: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/>
              </w:rPr>
              <w:t>42.1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酒精喷灯燃烧试验</w:t>
            </w:r>
          </w:p>
        </w:tc>
        <w:tc>
          <w:tcPr>
            <w:tcW w:w="193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299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《矿用涂覆布风筒通用技术条件》MT/T 164-2019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/>
              </w:rPr>
              <w:t>42.2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酒精灯燃烧实验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/>
              </w:rPr>
              <w:t>42.3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抗静电性能（表面电阻）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65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shd w:val="clear"/>
                <w:lang w:val="en-US" w:eastAsia="zh-CN"/>
              </w:rPr>
              <w:t>非金属材料（除电缆、输送带、风筒外）</w:t>
            </w: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阻燃性试验</w:t>
            </w:r>
          </w:p>
        </w:tc>
        <w:tc>
          <w:tcPr>
            <w:tcW w:w="193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《煤矿井下用聚合物制品阻燃抗静电性通用试验方法和判定规则》MT113-1995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" w:type="dxa"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抗静电性能（表面电阻）</w:t>
            </w:r>
          </w:p>
        </w:tc>
        <w:tc>
          <w:tcPr>
            <w:tcW w:w="19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Autospacing="0" w:afterAutospacing="0" w:line="320" w:lineRule="exact"/>
        <w:ind w:left="161" w:leftChars="0" w:right="0" w:rightChars="0" w:hanging="161" w:hangingChars="71"/>
        <w:textAlignment w:val="auto"/>
        <w:rPr>
          <w:sz w:val="24"/>
          <w:szCs w:val="24"/>
        </w:rPr>
      </w:pPr>
    </w:p>
    <w:p>
      <w:pPr>
        <w:rPr>
          <w:rFonts w:hint="eastAsia" w:eastAsia="仿宋_GB2312"/>
          <w:sz w:val="24"/>
          <w:szCs w:val="24"/>
          <w:lang w:eastAsia="zh-CN"/>
        </w:rPr>
      </w:pPr>
    </w:p>
    <w:p>
      <w:pPr>
        <w:pStyle w:val="4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2"/>
          <w:szCs w:val="32"/>
          <w:lang w:val="en-US" w:eastAsia="zh-CN"/>
        </w:rPr>
        <w:t>资 质 证 书</w:t>
      </w:r>
    </w:p>
    <w:p>
      <w:pPr>
        <w:pStyle w:val="4"/>
        <w:snapToGrid w:val="0"/>
        <w:ind w:left="0" w:leftChars="0" w:firstLine="0" w:firstLineChars="0"/>
        <w:jc w:val="center"/>
        <w:rPr>
          <w:rFonts w:hint="default" w:ascii="宋体" w:hAnsi="宋体" w:cs="Times New Roman"/>
          <w:bCs/>
          <w:szCs w:val="22"/>
          <w:lang w:val="en-US" w:eastAsia="zh-CN"/>
        </w:rPr>
      </w:pPr>
      <w:r>
        <w:rPr>
          <w:rFonts w:hint="eastAsia" w:ascii="宋体" w:hAnsi="宋体" w:cs="Times New Roman"/>
          <w:bCs/>
          <w:szCs w:val="22"/>
          <w:lang w:val="en-US" w:eastAsia="zh-CN"/>
        </w:rPr>
        <w:t>授权签字人及授权签字领域</w:t>
      </w:r>
    </w:p>
    <w:p>
      <w:pPr>
        <w:pStyle w:val="4"/>
        <w:snapToGrid w:val="0"/>
        <w:ind w:left="24" w:leftChars="-200" w:hanging="640" w:hangingChars="200"/>
        <w:jc w:val="center"/>
        <w:rPr>
          <w:rFonts w:hint="eastAsia" w:ascii="仿宋_GB2312" w:hAnsi="仿宋_GB2312" w:eastAsia="仿宋_GB2312" w:cs="仿宋_GB2312"/>
          <w:b w:val="0"/>
          <w:bCs/>
          <w:spacing w:val="20"/>
          <w:sz w:val="28"/>
          <w:szCs w:val="28"/>
          <w:lang w:val="en-US" w:eastAsia="zh-CN"/>
        </w:rPr>
      </w:pPr>
    </w:p>
    <w:p>
      <w:pPr>
        <w:pStyle w:val="4"/>
        <w:snapToGrid w:val="0"/>
        <w:ind w:left="0" w:leftChars="0" w:firstLine="0" w:firstLineChars="0"/>
        <w:jc w:val="left"/>
        <w:rPr>
          <w:rFonts w:hint="eastAsia" w:ascii="宋体" w:hAnsi="宋体" w:cs="Times New Roman"/>
          <w:bCs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bCs/>
          <w:sz w:val="21"/>
          <w:szCs w:val="21"/>
          <w:lang w:val="en-US" w:eastAsia="zh-CN"/>
        </w:rPr>
        <w:t>机构名称：贵州安和永驻科技有限公司</w:t>
      </w:r>
    </w:p>
    <w:p>
      <w:pPr>
        <w:pStyle w:val="4"/>
        <w:snapToGrid w:val="0"/>
        <w:ind w:left="4554" w:leftChars="0" w:hanging="4554" w:hangingChars="2300"/>
        <w:jc w:val="left"/>
        <w:rPr>
          <w:rFonts w:hint="eastAsia" w:ascii="宋体" w:hAnsi="宋体" w:cs="Times New Roman"/>
          <w:bCs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bCs/>
          <w:sz w:val="21"/>
          <w:szCs w:val="21"/>
          <w:lang w:val="en-US" w:eastAsia="zh-CN"/>
        </w:rPr>
        <w:t>场</w:t>
      </w:r>
      <w:r>
        <w:rPr>
          <w:rFonts w:hint="eastAsia" w:hAnsi="宋体" w:cs="Times New Roman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Times New Roman"/>
          <w:bCs/>
          <w:sz w:val="21"/>
          <w:szCs w:val="21"/>
          <w:lang w:val="en-US" w:eastAsia="zh-CN"/>
        </w:rPr>
        <w:t>所：贵州安和永驻科技有限公司</w:t>
      </w:r>
      <w:r>
        <w:rPr>
          <w:rFonts w:hint="eastAsia" w:hAnsi="宋体" w:cs="Times New Roman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cs="Times New Roman"/>
          <w:bCs/>
          <w:sz w:val="21"/>
          <w:szCs w:val="21"/>
          <w:lang w:val="en-US" w:eastAsia="zh-CN"/>
        </w:rPr>
        <w:t>地址：贵阳市云岩区蔡关路1号贵州理工学院院内50栋</w:t>
      </w:r>
    </w:p>
    <w:p>
      <w:pPr>
        <w:pStyle w:val="4"/>
        <w:snapToGrid w:val="0"/>
        <w:ind w:left="0" w:leftChars="0" w:firstLine="0" w:firstLineChars="0"/>
        <w:jc w:val="left"/>
        <w:rPr>
          <w:rFonts w:hint="default" w:ascii="宋体" w:hAnsi="宋体" w:cs="Times New Roman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bCs/>
          <w:sz w:val="21"/>
          <w:szCs w:val="21"/>
          <w:lang w:val="en-US" w:eastAsia="zh-CN"/>
        </w:rPr>
        <w:t xml:space="preserve">证书编号：黔 </w:t>
      </w:r>
      <w:r>
        <w:rPr>
          <w:rFonts w:hint="eastAsia" w:hAnsi="宋体" w:cs="Times New Roman"/>
          <w:bCs/>
          <w:sz w:val="21"/>
          <w:szCs w:val="21"/>
          <w:lang w:val="en-US" w:eastAsia="zh-CN"/>
        </w:rPr>
        <w:t>煤监</w:t>
      </w:r>
      <w:r>
        <w:rPr>
          <w:rFonts w:hint="eastAsia" w:ascii="宋体" w:hAnsi="宋体" w:cs="Times New Roman"/>
          <w:bCs/>
          <w:sz w:val="21"/>
          <w:szCs w:val="21"/>
          <w:lang w:val="en-US" w:eastAsia="zh-CN"/>
        </w:rPr>
        <w:t xml:space="preserve"> 2</w:t>
      </w:r>
      <w:r>
        <w:rPr>
          <w:rFonts w:hint="eastAsia" w:hAnsi="宋体" w:cs="Times New Roman"/>
          <w:bCs/>
          <w:sz w:val="21"/>
          <w:szCs w:val="21"/>
          <w:lang w:val="en-US" w:eastAsia="zh-CN"/>
        </w:rPr>
        <w:t>0</w:t>
      </w:r>
      <w:r>
        <w:rPr>
          <w:rFonts w:hint="eastAsia" w:ascii="宋体" w:hAnsi="宋体" w:cs="Times New Roman"/>
          <w:bCs/>
          <w:sz w:val="21"/>
          <w:szCs w:val="21"/>
          <w:lang w:val="en-US" w:eastAsia="zh-CN"/>
        </w:rPr>
        <w:t xml:space="preserve"> 0</w:t>
      </w:r>
      <w:r>
        <w:rPr>
          <w:rFonts w:hint="eastAsia" w:hAnsi="宋体" w:cs="Times New Roman"/>
          <w:bCs/>
          <w:sz w:val="21"/>
          <w:szCs w:val="21"/>
          <w:lang w:val="en-US" w:eastAsia="zh-CN"/>
        </w:rPr>
        <w:t xml:space="preserve">3           </w:t>
      </w:r>
      <w:r>
        <w:rPr>
          <w:rFonts w:hint="eastAsia" w:ascii="宋体" w:hAnsi="宋体" w:cs="Times New Roman"/>
          <w:bCs/>
          <w:sz w:val="21"/>
          <w:szCs w:val="21"/>
          <w:lang w:val="en-US" w:eastAsia="zh-CN"/>
        </w:rPr>
        <w:t xml:space="preserve"> </w:t>
      </w:r>
      <w:r>
        <w:rPr>
          <w:rFonts w:hint="eastAsia" w:hAnsi="宋体" w:cs="Times New Roman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Times New Roman"/>
          <w:bCs/>
          <w:sz w:val="21"/>
          <w:szCs w:val="21"/>
          <w:lang w:val="en-US" w:eastAsia="zh-CN"/>
        </w:rPr>
        <w:t>有效期至：202</w:t>
      </w:r>
      <w:r>
        <w:rPr>
          <w:rFonts w:hint="eastAsia" w:hAnsi="宋体" w:cs="Times New Roman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cs="Times New Roman"/>
          <w:bCs/>
          <w:sz w:val="21"/>
          <w:szCs w:val="21"/>
          <w:lang w:val="en-US" w:eastAsia="zh-CN"/>
        </w:rPr>
        <w:t>年1</w:t>
      </w:r>
      <w:r>
        <w:rPr>
          <w:rFonts w:hint="eastAsia" w:hAnsi="宋体" w:cs="Times New Roman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cs="Times New Roman"/>
          <w:bCs/>
          <w:sz w:val="21"/>
          <w:szCs w:val="21"/>
          <w:lang w:val="en-US" w:eastAsia="zh-CN"/>
        </w:rPr>
        <w:t>月1</w:t>
      </w:r>
      <w:r>
        <w:rPr>
          <w:rFonts w:hint="eastAsia" w:hAnsi="宋体" w:cs="Times New Roman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cs="Times New Roman"/>
          <w:bCs/>
          <w:sz w:val="21"/>
          <w:szCs w:val="21"/>
          <w:lang w:val="en-US" w:eastAsia="zh-CN"/>
        </w:rPr>
        <w:t>日</w:t>
      </w:r>
    </w:p>
    <w:tbl>
      <w:tblPr>
        <w:tblStyle w:val="8"/>
        <w:tblW w:w="87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72"/>
        <w:gridCol w:w="3844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授权签字人姓名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授权签字领域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李昊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hint="default" w:ascii="仿宋" w:hAnsi="仿宋" w:eastAsia="仿宋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授权项目全领域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王杰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授权除无损检测外全领域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田贵权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授权除无损检测外全领域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（以下空白）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（以下空白）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hAnsi="宋体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/>
    <w:p/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文泉驿微米黑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ˎ̥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16E401CC"/>
    <w:rsid w:val="01856881"/>
    <w:rsid w:val="064F0082"/>
    <w:rsid w:val="068F00E1"/>
    <w:rsid w:val="16E401CC"/>
    <w:rsid w:val="1AB04D0D"/>
    <w:rsid w:val="22491C56"/>
    <w:rsid w:val="29907C3F"/>
    <w:rsid w:val="2BE412CA"/>
    <w:rsid w:val="2BF77F01"/>
    <w:rsid w:val="2D827D1E"/>
    <w:rsid w:val="34EC4C37"/>
    <w:rsid w:val="38A8133A"/>
    <w:rsid w:val="39DB03B0"/>
    <w:rsid w:val="3AE6539F"/>
    <w:rsid w:val="3D5E0C45"/>
    <w:rsid w:val="3E8527A2"/>
    <w:rsid w:val="3FF13018"/>
    <w:rsid w:val="47A8519E"/>
    <w:rsid w:val="492905A3"/>
    <w:rsid w:val="49CDD3C2"/>
    <w:rsid w:val="49F8204D"/>
    <w:rsid w:val="4A015677"/>
    <w:rsid w:val="4DAF4C6A"/>
    <w:rsid w:val="514F07F2"/>
    <w:rsid w:val="53C024B0"/>
    <w:rsid w:val="5E0F1B60"/>
    <w:rsid w:val="5E4FE0D4"/>
    <w:rsid w:val="5FFD760A"/>
    <w:rsid w:val="613E2453"/>
    <w:rsid w:val="6A9F5845"/>
    <w:rsid w:val="6D717C1E"/>
    <w:rsid w:val="6D8B6DD7"/>
    <w:rsid w:val="6FFBBFE0"/>
    <w:rsid w:val="74EF327C"/>
    <w:rsid w:val="759F3666"/>
    <w:rsid w:val="75DB226C"/>
    <w:rsid w:val="77DD0525"/>
    <w:rsid w:val="77EDEAB2"/>
    <w:rsid w:val="786A24C1"/>
    <w:rsid w:val="79AC5FC4"/>
    <w:rsid w:val="7B1240D2"/>
    <w:rsid w:val="7BC58B8A"/>
    <w:rsid w:val="7BF6FF0B"/>
    <w:rsid w:val="7E7A60D3"/>
    <w:rsid w:val="7F6916AB"/>
    <w:rsid w:val="7F9E68E8"/>
    <w:rsid w:val="9FECDD53"/>
    <w:rsid w:val="B6A72734"/>
    <w:rsid w:val="B9FF922F"/>
    <w:rsid w:val="BF7F39A3"/>
    <w:rsid w:val="DBFB234A"/>
    <w:rsid w:val="DCCFA65B"/>
    <w:rsid w:val="DE5F2DE3"/>
    <w:rsid w:val="DFFFAF60"/>
    <w:rsid w:val="F5DD756D"/>
    <w:rsid w:val="FBFF593A"/>
    <w:rsid w:val="FDBF2393"/>
    <w:rsid w:val="FFC332FA"/>
    <w:rsid w:val="FFEF7035"/>
    <w:rsid w:val="FFFFD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qFormat="1" w:unhideWhenUsed="0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unhideWhenUsed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qFormat/>
    <w:uiPriority w:val="99"/>
    <w:pPr>
      <w:autoSpaceDE w:val="0"/>
      <w:autoSpaceDN w:val="0"/>
      <w:spacing w:line="360" w:lineRule="auto"/>
      <w:ind w:left="200" w:leftChars="200" w:hanging="200" w:hangingChars="200"/>
    </w:pPr>
    <w:rPr>
      <w:sz w:val="28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nhideWhenUsed/>
    <w:qFormat/>
    <w:uiPriority w:val="99"/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ysgz/E:\opt\kingsoft\wps-office\office6\F:\mb\fileMode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fileMode.wpt</Template>
  <Pages>17</Pages>
  <Words>6310</Words>
  <Characters>8645</Characters>
  <Lines>1</Lines>
  <Paragraphs>1</Paragraphs>
  <TotalTime>13</TotalTime>
  <ScaleCrop>false</ScaleCrop>
  <LinksUpToDate>false</LinksUpToDate>
  <CharactersWithSpaces>8795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2016-04-21T11:31:00Z</dcterms:created>
  <dc:creator>Administrator</dc:creator>
  <cp:lastModifiedBy>ysgz</cp:lastModifiedBy>
  <cp:lastPrinted>2022-11-14T14:29:12Z</cp:lastPrinted>
  <dcterms:modified xsi:type="dcterms:W3CDTF">2022-11-14T14:31:41Z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185EBCB0AB2F4BA28179FE602D590B42</vt:lpwstr>
  </property>
</Properties>
</file>