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380"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kern w:val="0"/>
          <w:sz w:val="40"/>
          <w:szCs w:val="40"/>
          <w:bdr w:val="none" w:color="auto" w:sz="0" w:space="0"/>
          <w:shd w:val="clear" w:fill="FFFFFF"/>
          <w:lang w:val="en-US" w:eastAsia="zh-CN" w:bidi="ar"/>
        </w:rPr>
        <w:t>国家安全监管总局等八部门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380"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kern w:val="0"/>
          <w:sz w:val="40"/>
          <w:szCs w:val="40"/>
          <w:bdr w:val="none" w:color="auto" w:sz="0" w:space="0"/>
          <w:shd w:val="clear" w:fill="FFFFFF"/>
          <w:lang w:val="en-US" w:eastAsia="zh-CN" w:bidi="ar"/>
        </w:rPr>
        <w:t>关于加强油气输送管道途经人员密集场所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380"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kern w:val="0"/>
          <w:sz w:val="40"/>
          <w:szCs w:val="40"/>
          <w:bdr w:val="none" w:color="auto" w:sz="0" w:space="0"/>
          <w:shd w:val="clear" w:fill="FFFFFF"/>
          <w:lang w:val="en-US" w:eastAsia="zh-CN" w:bidi="ar"/>
        </w:rPr>
        <w:t>高后果区安全管理工作的通知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0"/>
        <w:jc w:val="center"/>
        <w:rPr>
          <w:rFonts w:hint="eastAsia" w:ascii="宋体" w:hAnsi="宋体" w:eastAsia="宋体" w:cs="宋体"/>
          <w:b w:val="0"/>
          <w:i w:val="0"/>
          <w:caps w:val="0"/>
          <w:color w:val="333333"/>
          <w:spacing w:val="0"/>
          <w:sz w:val="24"/>
          <w:szCs w:val="24"/>
        </w:rPr>
      </w:pPr>
      <w:r>
        <w:rPr>
          <w:rFonts w:ascii="楷体_GB2312" w:hAnsi="宋体" w:eastAsia="楷体_GB2312" w:cs="楷体_GB2312"/>
          <w:b w:val="0"/>
          <w:i w:val="0"/>
          <w:caps w:val="0"/>
          <w:color w:val="333333"/>
          <w:spacing w:val="0"/>
          <w:kern w:val="0"/>
          <w:sz w:val="32"/>
          <w:szCs w:val="32"/>
          <w:bdr w:val="none" w:color="auto" w:sz="0" w:space="0"/>
          <w:shd w:val="clear" w:fill="FFFFFF"/>
          <w:lang w:val="en-US" w:eastAsia="zh-CN" w:bidi="ar"/>
        </w:rPr>
        <w:t>安监总管三〔</w:t>
      </w:r>
      <w:r>
        <w:rPr>
          <w:rFonts w:hint="eastAsia" w:ascii="楷体_GB2312" w:hAnsi="宋体" w:eastAsia="楷体_GB2312" w:cs="楷体_GB2312"/>
          <w:b w:val="0"/>
          <w:i w:val="0"/>
          <w:caps w:val="0"/>
          <w:color w:val="333333"/>
          <w:spacing w:val="0"/>
          <w:kern w:val="0"/>
          <w:sz w:val="32"/>
          <w:szCs w:val="32"/>
          <w:bdr w:val="none" w:color="auto" w:sz="0" w:space="0"/>
          <w:shd w:val="clear" w:fill="FFFFFF"/>
          <w:lang w:val="en-US" w:eastAsia="zh-CN" w:bidi="ar"/>
        </w:rPr>
        <w:t>2017〕138号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32"/>
          <w:szCs w:val="32"/>
          <w:bdr w:val="none" w:color="auto" w:sz="0" w:space="0"/>
          <w:shd w:val="clear" w:fill="FFFFFF"/>
          <w:lang w:val="en-US" w:eastAsia="zh-CN" w:bidi="ar"/>
        </w:rPr>
        <w:t>各省、自治区、直辖市及新疆生产建设兵团安全生产监督管理局、发展改革委、国土资源主管部门、住房城乡建设厅（委）、交通运输厅（局、委）、质量技术监督局（市场监督管理部门）、能源局，有关中央企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32"/>
          <w:szCs w:val="32"/>
          <w:bdr w:val="none" w:color="auto" w:sz="0" w:space="0"/>
          <w:shd w:val="clear" w:fill="FFFFFF"/>
          <w:lang w:val="en-US" w:eastAsia="zh-CN" w:bidi="ar"/>
        </w:rPr>
        <w:t>按照《国务院安委会办公室关于印发标本兼治遏制重特大事故工作指南的通知》（安委办〔</w:t>
      </w:r>
      <w:r>
        <w:rPr>
          <w:rFonts w:hint="default" w:ascii="Times New Roman" w:hAnsi="Times New Roman" w:eastAsia="宋体" w:cs="Times New Roman"/>
          <w:b w:val="0"/>
          <w:i w:val="0"/>
          <w:caps w:val="0"/>
          <w:color w:val="333333"/>
          <w:spacing w:val="0"/>
          <w:kern w:val="0"/>
          <w:sz w:val="32"/>
          <w:szCs w:val="32"/>
          <w:bdr w:val="none" w:color="auto" w:sz="0" w:space="0"/>
          <w:shd w:val="clear" w:fill="FFFFFF"/>
          <w:lang w:val="en-US" w:eastAsia="zh-CN" w:bidi="ar"/>
        </w:rPr>
        <w:t>2016</w:t>
      </w:r>
      <w:r>
        <w:rPr>
          <w:rFonts w:hint="eastAsia" w:ascii="宋体" w:hAnsi="宋体" w:eastAsia="宋体" w:cs="宋体"/>
          <w:b w:val="0"/>
          <w:i w:val="0"/>
          <w:caps w:val="0"/>
          <w:color w:val="333333"/>
          <w:spacing w:val="0"/>
          <w:kern w:val="0"/>
          <w:sz w:val="32"/>
          <w:szCs w:val="32"/>
          <w:bdr w:val="none" w:color="auto" w:sz="0" w:space="0"/>
          <w:shd w:val="clear" w:fill="FFFFFF"/>
          <w:lang w:val="en-US" w:eastAsia="zh-CN" w:bidi="ar"/>
        </w:rPr>
        <w:t>〕</w:t>
      </w:r>
      <w:r>
        <w:rPr>
          <w:rFonts w:hint="default" w:ascii="Times New Roman" w:hAnsi="Times New Roman" w:eastAsia="宋体" w:cs="Times New Roman"/>
          <w:b w:val="0"/>
          <w:i w:val="0"/>
          <w:caps w:val="0"/>
          <w:color w:val="333333"/>
          <w:spacing w:val="0"/>
          <w:kern w:val="0"/>
          <w:sz w:val="32"/>
          <w:szCs w:val="32"/>
          <w:bdr w:val="none" w:color="auto" w:sz="0" w:space="0"/>
          <w:shd w:val="clear" w:fill="FFFFFF"/>
          <w:lang w:val="en-US" w:eastAsia="zh-CN" w:bidi="ar"/>
        </w:rPr>
        <w:t>3</w:t>
      </w:r>
      <w:r>
        <w:rPr>
          <w:rFonts w:hint="eastAsia" w:ascii="宋体" w:hAnsi="宋体" w:eastAsia="宋体" w:cs="宋体"/>
          <w:b w:val="0"/>
          <w:i w:val="0"/>
          <w:caps w:val="0"/>
          <w:color w:val="333333"/>
          <w:spacing w:val="0"/>
          <w:kern w:val="0"/>
          <w:sz w:val="32"/>
          <w:szCs w:val="32"/>
          <w:bdr w:val="none" w:color="auto" w:sz="0" w:space="0"/>
          <w:shd w:val="clear" w:fill="FFFFFF"/>
          <w:lang w:val="en-US" w:eastAsia="zh-CN" w:bidi="ar"/>
        </w:rPr>
        <w:t>号）和《国务院安委会办公室实施遏制重特大事故工作指南构建双重预防机制的意见》（安委办〔</w:t>
      </w:r>
      <w:r>
        <w:rPr>
          <w:rFonts w:hint="default" w:ascii="Times New Roman" w:hAnsi="Times New Roman" w:eastAsia="宋体" w:cs="Times New Roman"/>
          <w:b w:val="0"/>
          <w:i w:val="0"/>
          <w:caps w:val="0"/>
          <w:color w:val="333333"/>
          <w:spacing w:val="0"/>
          <w:kern w:val="0"/>
          <w:sz w:val="32"/>
          <w:szCs w:val="32"/>
          <w:bdr w:val="none" w:color="auto" w:sz="0" w:space="0"/>
          <w:shd w:val="clear" w:fill="FFFFFF"/>
          <w:lang w:val="en-US" w:eastAsia="zh-CN" w:bidi="ar"/>
        </w:rPr>
        <w:t>2016</w:t>
      </w:r>
      <w:r>
        <w:rPr>
          <w:rFonts w:hint="eastAsia" w:ascii="宋体" w:hAnsi="宋体" w:eastAsia="宋体" w:cs="宋体"/>
          <w:b w:val="0"/>
          <w:i w:val="0"/>
          <w:caps w:val="0"/>
          <w:color w:val="333333"/>
          <w:spacing w:val="0"/>
          <w:kern w:val="0"/>
          <w:sz w:val="32"/>
          <w:szCs w:val="32"/>
          <w:bdr w:val="none" w:color="auto" w:sz="0" w:space="0"/>
          <w:shd w:val="clear" w:fill="FFFFFF"/>
          <w:lang w:val="en-US" w:eastAsia="zh-CN" w:bidi="ar"/>
        </w:rPr>
        <w:t>〕</w:t>
      </w:r>
      <w:r>
        <w:rPr>
          <w:rFonts w:hint="default" w:ascii="Times New Roman" w:hAnsi="Times New Roman" w:eastAsia="宋体" w:cs="Times New Roman"/>
          <w:b w:val="0"/>
          <w:i w:val="0"/>
          <w:caps w:val="0"/>
          <w:color w:val="333333"/>
          <w:spacing w:val="0"/>
          <w:kern w:val="0"/>
          <w:sz w:val="32"/>
          <w:szCs w:val="32"/>
          <w:bdr w:val="none" w:color="auto" w:sz="0" w:space="0"/>
          <w:shd w:val="clear" w:fill="FFFFFF"/>
          <w:lang w:val="en-US" w:eastAsia="zh-CN" w:bidi="ar"/>
        </w:rPr>
        <w:t>11</w:t>
      </w:r>
      <w:r>
        <w:rPr>
          <w:rFonts w:hint="eastAsia" w:ascii="宋体" w:hAnsi="宋体" w:eastAsia="宋体" w:cs="宋体"/>
          <w:b w:val="0"/>
          <w:i w:val="0"/>
          <w:caps w:val="0"/>
          <w:color w:val="333333"/>
          <w:spacing w:val="0"/>
          <w:kern w:val="0"/>
          <w:sz w:val="32"/>
          <w:szCs w:val="32"/>
          <w:bdr w:val="none" w:color="auto" w:sz="0" w:space="0"/>
          <w:shd w:val="clear" w:fill="FFFFFF"/>
          <w:lang w:val="en-US" w:eastAsia="zh-CN" w:bidi="ar"/>
        </w:rPr>
        <w:t>号）要求，为加快建立健全油气输送管道安全风险管控和隐患排查治理工作机制，深化巩固油气输送管道安全隐患整治攻坚战成果，突出加强油气输送管道途经人员密集场所高后果区（以下简称人员密集型高后果区）安全管理工作，有效防范油气输送管道重特大生产安全事故，现就有关事项通知如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32"/>
          <w:szCs w:val="32"/>
          <w:bdr w:val="none" w:color="auto" w:sz="0" w:space="0"/>
          <w:shd w:val="clear" w:fill="FFFFFF"/>
          <w:lang w:val="en-US" w:eastAsia="zh-CN" w:bidi="ar"/>
        </w:rPr>
        <w:t>一、及时准确掌握人员密集型高后果区状况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32"/>
          <w:szCs w:val="32"/>
          <w:bdr w:val="none" w:color="auto" w:sz="0" w:space="0"/>
          <w:shd w:val="clear" w:fill="FFFFFF"/>
          <w:lang w:val="en-US" w:eastAsia="zh-CN" w:bidi="ar"/>
        </w:rPr>
        <w:t>各有关企业要组织所属油气输送管道企业按照《油气输送管道完整性管理规范》（</w:t>
      </w:r>
      <w:r>
        <w:rPr>
          <w:rFonts w:hint="default" w:ascii="Times New Roman" w:hAnsi="Times New Roman" w:eastAsia="宋体" w:cs="Times New Roman"/>
          <w:b w:val="0"/>
          <w:i w:val="0"/>
          <w:caps w:val="0"/>
          <w:color w:val="333333"/>
          <w:spacing w:val="0"/>
          <w:kern w:val="0"/>
          <w:sz w:val="32"/>
          <w:szCs w:val="32"/>
          <w:bdr w:val="none" w:color="auto" w:sz="0" w:space="0"/>
          <w:shd w:val="clear" w:fill="FFFFFF"/>
          <w:lang w:val="en-US" w:eastAsia="zh-CN" w:bidi="ar"/>
        </w:rPr>
        <w:t>GB32167-2015</w:t>
      </w:r>
      <w:r>
        <w:rPr>
          <w:rFonts w:hint="eastAsia" w:ascii="宋体" w:hAnsi="宋体" w:eastAsia="宋体" w:cs="宋体"/>
          <w:b w:val="0"/>
          <w:i w:val="0"/>
          <w:caps w:val="0"/>
          <w:color w:val="333333"/>
          <w:spacing w:val="0"/>
          <w:kern w:val="0"/>
          <w:sz w:val="32"/>
          <w:szCs w:val="32"/>
          <w:bdr w:val="none" w:color="auto" w:sz="0" w:space="0"/>
          <w:shd w:val="clear" w:fill="FFFFFF"/>
          <w:lang w:val="en-US" w:eastAsia="zh-CN" w:bidi="ar"/>
        </w:rPr>
        <w:t>）</w:t>
      </w:r>
      <w:r>
        <w:rPr>
          <w:rFonts w:hint="default" w:ascii="Times New Roman" w:hAnsi="Times New Roman" w:eastAsia="宋体" w:cs="Times New Roman"/>
          <w:b w:val="0"/>
          <w:i w:val="0"/>
          <w:caps w:val="0"/>
          <w:color w:val="333333"/>
          <w:spacing w:val="0"/>
          <w:kern w:val="0"/>
          <w:sz w:val="32"/>
          <w:szCs w:val="32"/>
          <w:bdr w:val="none" w:color="auto" w:sz="0" w:space="0"/>
          <w:shd w:val="clear" w:fill="FFFFFF"/>
          <w:lang w:val="en-US" w:eastAsia="zh-CN" w:bidi="ar"/>
        </w:rPr>
        <w:t>,</w:t>
      </w:r>
      <w:r>
        <w:rPr>
          <w:rFonts w:hint="eastAsia" w:ascii="宋体" w:hAnsi="宋体" w:eastAsia="宋体" w:cs="宋体"/>
          <w:b w:val="0"/>
          <w:i w:val="0"/>
          <w:caps w:val="0"/>
          <w:color w:val="333333"/>
          <w:spacing w:val="0"/>
          <w:kern w:val="0"/>
          <w:sz w:val="32"/>
          <w:szCs w:val="32"/>
          <w:bdr w:val="none" w:color="auto" w:sz="0" w:space="0"/>
          <w:shd w:val="clear" w:fill="FFFFFF"/>
          <w:lang w:val="en-US" w:eastAsia="zh-CN" w:bidi="ar"/>
        </w:rPr>
        <w:t>全面开展人员密集型高后果区识别和风险评价工作，编制人员密集型高后果区风险评价报告，并按照各省级人民政府相关部门要求做好报送工作。各有关部门要全面摸清掌握本地区人员密集型高后果区现状，建立有效的更新机制，人员密集型高后果区识别时间间隔最长不能超过</w:t>
      </w:r>
      <w:r>
        <w:rPr>
          <w:rFonts w:hint="default" w:ascii="Times New Roman" w:hAnsi="Times New Roman" w:eastAsia="宋体" w:cs="Times New Roman"/>
          <w:b w:val="0"/>
          <w:i w:val="0"/>
          <w:caps w:val="0"/>
          <w:color w:val="333333"/>
          <w:spacing w:val="0"/>
          <w:kern w:val="0"/>
          <w:sz w:val="32"/>
          <w:szCs w:val="32"/>
          <w:bdr w:val="none" w:color="auto" w:sz="0" w:space="0"/>
          <w:shd w:val="clear" w:fill="FFFFFF"/>
          <w:lang w:val="en-US" w:eastAsia="zh-CN" w:bidi="ar"/>
        </w:rPr>
        <w:t>18</w:t>
      </w:r>
      <w:r>
        <w:rPr>
          <w:rFonts w:hint="eastAsia" w:ascii="宋体" w:hAnsi="宋体" w:eastAsia="宋体" w:cs="宋体"/>
          <w:b w:val="0"/>
          <w:i w:val="0"/>
          <w:caps w:val="0"/>
          <w:color w:val="333333"/>
          <w:spacing w:val="0"/>
          <w:kern w:val="0"/>
          <w:sz w:val="32"/>
          <w:szCs w:val="32"/>
          <w:bdr w:val="none" w:color="auto" w:sz="0" w:space="0"/>
          <w:shd w:val="clear" w:fill="FFFFFF"/>
          <w:lang w:val="en-US" w:eastAsia="zh-CN" w:bidi="ar"/>
        </w:rPr>
        <w:t>个月。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32"/>
          <w:szCs w:val="32"/>
          <w:bdr w:val="none" w:color="auto" w:sz="0" w:space="0"/>
          <w:shd w:val="clear" w:fill="FFFFFF"/>
          <w:lang w:val="en-US" w:eastAsia="zh-CN" w:bidi="ar"/>
        </w:rPr>
        <w:t>二、各有关企业要落实主体责任，有效防控人员密集型高后果区安全风险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32"/>
          <w:szCs w:val="32"/>
          <w:bdr w:val="none" w:color="auto" w:sz="0" w:space="0"/>
          <w:shd w:val="clear" w:fill="FFFFFF"/>
          <w:lang w:val="en-US" w:eastAsia="zh-CN" w:bidi="ar"/>
        </w:rPr>
        <w:t>各有关企业要组织督促所属油气输送管道企业依据人员密集型高后果区风险评价报告，及时维修维护或更新有缺陷的设备设施，提高管道本体及附属设施安全可靠性。要严格执行国家法律法规、标准规范和有关规定，防止油气输送管道与市政地下管网、公路、桥梁、航道相互交叉、穿（跨）越时形成安全隐患。要采取提高日常巡护频次、加密设置地面警示标识、安装全天候视频监控等人防、物防、技防措施，及时阻止危及人员密集型高后果区管段安全的违法施工作业行为。要组织排查油气输送管道途经容易发生崩塌、滑坡、塌陷、泥石流、地面沉陷等地质灾害地段的安全风险和隐患，获取掌握地质灾害预警信息，因地制宜采取治理避灾措施，及时降低风险、消除隐患，最大限度地减少地质灾害对油气输送管道安全运行的影响。要加强相关人员岗位技能培训和考核，实时进行泄漏监测，及时发现并有效处置油气输送管道泄漏事故事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32"/>
          <w:szCs w:val="32"/>
          <w:bdr w:val="none" w:color="auto" w:sz="0" w:space="0"/>
          <w:shd w:val="clear" w:fill="FFFFFF"/>
          <w:lang w:val="en-US" w:eastAsia="zh-CN" w:bidi="ar"/>
        </w:rPr>
        <w:t>各有关中央企业要高度重视人员密集型高后果区安全管理工作，高标准、严要求落实有关规定，率先垂范做好安全风险防控措施，确保安全生产。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32"/>
          <w:szCs w:val="32"/>
          <w:bdr w:val="none" w:color="auto" w:sz="0" w:space="0"/>
          <w:shd w:val="clear" w:fill="FFFFFF"/>
          <w:lang w:val="en-US" w:eastAsia="zh-CN" w:bidi="ar"/>
        </w:rPr>
        <w:t>三、各有关部门要落实监管责任，加强人员密集型高后果区监管执法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32"/>
          <w:szCs w:val="32"/>
          <w:bdr w:val="none" w:color="auto" w:sz="0" w:space="0"/>
          <w:shd w:val="clear" w:fill="FFFFFF"/>
          <w:lang w:val="en-US" w:eastAsia="zh-CN" w:bidi="ar"/>
        </w:rPr>
        <w:t>各有关部门要认真落实油气输送管道保护和安全监管职责分工，按照归口管理、分级负责的原则，充分考虑油气输送管道输送介质的易燃易爆特性，依法加强涉及大口径、高压力油气输送管道项目的可行性论证和审核，认真管好人员密集型高后果区存量，严格控制人员密集型高后果区增量。要切实落实管道保护责任，严格高后果区地面开挖作业管理，严防因第三方施工损坏油气输送管道引发事故。要检查督促油气输送管道企业严格执行相关法律法规和标准规范，严格落实管道法定检验制度，加强油气输送管道本体、附属设施和周边环境各类安全风险、隐患辨识，提升管道本体质量安全。要加大执法力度，依法从严从重处罚未组织开展人员密集型高后果区识别、未对人员密集型高后果区管段开展风险评价和风险消减措施的油气输送管道企业，以及在油气输送管道周边乱建乱挖乱钻的其他经营主体。</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32"/>
          <w:szCs w:val="32"/>
          <w:bdr w:val="none" w:color="auto" w:sz="0" w:space="0"/>
          <w:shd w:val="clear" w:fill="FFFFFF"/>
          <w:lang w:val="en-US" w:eastAsia="zh-CN" w:bidi="ar"/>
        </w:rPr>
        <w:t>四、不断提升人员密集型高后果区应急处置能力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32"/>
          <w:szCs w:val="32"/>
          <w:bdr w:val="none" w:color="auto" w:sz="0" w:space="0"/>
          <w:shd w:val="clear" w:fill="FFFFFF"/>
          <w:lang w:val="en-US" w:eastAsia="zh-CN" w:bidi="ar"/>
        </w:rPr>
        <w:t>各有关部门和有关企业要结合人员密集型高后果区实际，基于安全风险评价结果，及时完善人员密集型高后果区油气泄漏事故应急预案，切实增强预案的科学性、实用性和可操作性。要切实完善政企联动机制，定期联合开展应急演练，加快提高应急实战能力。要根据油气危害特性，强化应急初期处置，科学研判并防控现场安全风险，合理控制影响范围，制定泄漏警戒和人员疏散方案。有效开展处置，避免因处置不当导致事故事件影响后果升级扩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200" w:right="26" w:firstLine="640"/>
        <w:jc w:val="righ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32"/>
          <w:szCs w:val="32"/>
          <w:bdr w:val="none" w:color="auto" w:sz="0" w:space="0"/>
          <w:shd w:val="clear" w:fill="FFFFFF"/>
          <w:lang w:val="en-US" w:eastAsia="zh-CN" w:bidi="ar"/>
        </w:rPr>
        <w:t>国家安全监管总局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200" w:right="26" w:firstLine="640"/>
        <w:jc w:val="righ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32"/>
          <w:szCs w:val="32"/>
          <w:bdr w:val="none" w:color="auto" w:sz="0" w:space="0"/>
          <w:shd w:val="clear" w:fill="FFFFFF"/>
          <w:lang w:val="en-US" w:eastAsia="zh-CN" w:bidi="ar"/>
        </w:rPr>
        <w:t>国家发展改革委</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200" w:right="26" w:firstLine="640"/>
        <w:jc w:val="righ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32"/>
          <w:szCs w:val="32"/>
          <w:bdr w:val="none" w:color="auto" w:sz="0" w:space="0"/>
          <w:shd w:val="clear" w:fill="FFFFFF"/>
          <w:lang w:val="en-US" w:eastAsia="zh-CN" w:bidi="ar"/>
        </w:rPr>
        <w:t>国土资源部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26" w:firstLine="0"/>
        <w:jc w:val="righ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32"/>
          <w:szCs w:val="32"/>
          <w:bdr w:val="none" w:color="auto" w:sz="0" w:space="0"/>
          <w:shd w:val="clear" w:fill="FFFFFF"/>
          <w:lang w:val="en-US" w:eastAsia="zh-CN" w:bidi="ar"/>
        </w:rPr>
        <w:t>住房城乡建设部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26" w:firstLine="0"/>
        <w:jc w:val="righ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32"/>
          <w:szCs w:val="32"/>
          <w:bdr w:val="none" w:color="auto" w:sz="0" w:space="0"/>
          <w:shd w:val="clear" w:fill="FFFFFF"/>
          <w:lang w:val="en-US" w:eastAsia="zh-CN" w:bidi="ar"/>
        </w:rPr>
        <w:t>交通运输部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26" w:firstLine="0"/>
        <w:jc w:val="righ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32"/>
          <w:szCs w:val="32"/>
          <w:bdr w:val="none" w:color="auto" w:sz="0" w:space="0"/>
          <w:shd w:val="clear" w:fill="FFFFFF"/>
          <w:lang w:val="en-US" w:eastAsia="zh-CN" w:bidi="ar"/>
        </w:rPr>
        <w:t>国务院国资委</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righ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32"/>
          <w:szCs w:val="32"/>
          <w:bdr w:val="none" w:color="auto" w:sz="0" w:space="0"/>
          <w:shd w:val="clear" w:fill="FFFFFF"/>
          <w:lang w:val="en-US" w:eastAsia="zh-CN" w:bidi="ar"/>
        </w:rPr>
        <w:t>国家质检总局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righ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32"/>
          <w:szCs w:val="32"/>
          <w:bdr w:val="none" w:color="auto" w:sz="0" w:space="0"/>
          <w:shd w:val="clear" w:fill="FFFFFF"/>
          <w:lang w:val="en-US" w:eastAsia="zh-CN" w:bidi="ar"/>
        </w:rPr>
        <w:t>国家能源局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right"/>
        <w:rPr>
          <w:rFonts w:hint="eastAsia" w:ascii="宋体" w:hAnsi="宋体" w:eastAsia="宋体" w:cs="宋体"/>
          <w:b w:val="0"/>
          <w:i w:val="0"/>
          <w:caps w:val="0"/>
          <w:color w:val="333333"/>
          <w:spacing w:val="0"/>
          <w:sz w:val="24"/>
          <w:szCs w:val="24"/>
        </w:rPr>
      </w:pPr>
      <w:r>
        <w:rPr>
          <w:rFonts w:hint="default" w:ascii="Times New Roman" w:hAnsi="Times New Roman" w:eastAsia="宋体" w:cs="Times New Roman"/>
          <w:b w:val="0"/>
          <w:i w:val="0"/>
          <w:caps w:val="0"/>
          <w:color w:val="333333"/>
          <w:spacing w:val="0"/>
          <w:kern w:val="0"/>
          <w:sz w:val="32"/>
          <w:szCs w:val="32"/>
          <w:bdr w:val="none" w:color="auto" w:sz="0" w:space="0"/>
          <w:shd w:val="clear" w:fill="FFFFFF"/>
          <w:lang w:val="en-US" w:eastAsia="zh-CN" w:bidi="ar"/>
        </w:rPr>
        <w:t>2017</w:t>
      </w:r>
      <w:r>
        <w:rPr>
          <w:rFonts w:hint="eastAsia" w:ascii="宋体" w:hAnsi="宋体" w:eastAsia="宋体" w:cs="宋体"/>
          <w:b w:val="0"/>
          <w:i w:val="0"/>
          <w:caps w:val="0"/>
          <w:color w:val="333333"/>
          <w:spacing w:val="0"/>
          <w:kern w:val="0"/>
          <w:sz w:val="32"/>
          <w:szCs w:val="32"/>
          <w:bdr w:val="none" w:color="auto" w:sz="0" w:space="0"/>
          <w:shd w:val="clear" w:fill="FFFFFF"/>
          <w:lang w:val="en-US" w:eastAsia="zh-CN" w:bidi="ar"/>
        </w:rPr>
        <w:t>年</w:t>
      </w:r>
      <w:r>
        <w:rPr>
          <w:rFonts w:hint="default" w:ascii="Times New Roman" w:hAnsi="Times New Roman" w:eastAsia="宋体" w:cs="Times New Roman"/>
          <w:b w:val="0"/>
          <w:i w:val="0"/>
          <w:caps w:val="0"/>
          <w:color w:val="333333"/>
          <w:spacing w:val="0"/>
          <w:kern w:val="0"/>
          <w:sz w:val="32"/>
          <w:szCs w:val="32"/>
          <w:bdr w:val="none" w:color="auto" w:sz="0" w:space="0"/>
          <w:shd w:val="clear" w:fill="FFFFFF"/>
          <w:lang w:val="en-US" w:eastAsia="zh-CN" w:bidi="ar"/>
        </w:rPr>
        <w:t>12</w:t>
      </w:r>
      <w:r>
        <w:rPr>
          <w:rFonts w:hint="eastAsia" w:ascii="宋体" w:hAnsi="宋体" w:eastAsia="宋体" w:cs="宋体"/>
          <w:b w:val="0"/>
          <w:i w:val="0"/>
          <w:caps w:val="0"/>
          <w:color w:val="333333"/>
          <w:spacing w:val="0"/>
          <w:kern w:val="0"/>
          <w:sz w:val="32"/>
          <w:szCs w:val="32"/>
          <w:bdr w:val="none" w:color="auto" w:sz="0" w:space="0"/>
          <w:shd w:val="clear" w:fill="FFFFFF"/>
          <w:lang w:val="en-US" w:eastAsia="zh-CN" w:bidi="ar"/>
        </w:rPr>
        <w:t>月</w:t>
      </w:r>
      <w:r>
        <w:rPr>
          <w:rFonts w:hint="default" w:ascii="Times New Roman" w:hAnsi="Times New Roman" w:eastAsia="宋体" w:cs="Times New Roman"/>
          <w:b w:val="0"/>
          <w:i w:val="0"/>
          <w:caps w:val="0"/>
          <w:color w:val="333333"/>
          <w:spacing w:val="0"/>
          <w:kern w:val="0"/>
          <w:sz w:val="32"/>
          <w:szCs w:val="32"/>
          <w:bdr w:val="none" w:color="auto" w:sz="0" w:space="0"/>
          <w:shd w:val="clear" w:fill="FFFFFF"/>
          <w:lang w:val="en-US" w:eastAsia="zh-CN" w:bidi="ar"/>
        </w:rPr>
        <w:t>15</w:t>
      </w:r>
      <w:r>
        <w:rPr>
          <w:rFonts w:hint="eastAsia" w:ascii="宋体" w:hAnsi="宋体" w:eastAsia="宋体" w:cs="宋体"/>
          <w:b w:val="0"/>
          <w:i w:val="0"/>
          <w:caps w:val="0"/>
          <w:color w:val="333333"/>
          <w:spacing w:val="0"/>
          <w:kern w:val="0"/>
          <w:sz w:val="32"/>
          <w:szCs w:val="32"/>
          <w:bdr w:val="none" w:color="auto" w:sz="0" w:space="0"/>
          <w:shd w:val="clear" w:fill="FFFFFF"/>
          <w:lang w:val="en-US" w:eastAsia="zh-CN" w:bidi="ar"/>
        </w:rPr>
        <w:t>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altName w:val="Symbol"/>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Symbol">
    <w:panose1 w:val="05050102010706020507"/>
    <w:charset w:val="00"/>
    <w:family w:val="auto"/>
    <w:pitch w:val="default"/>
    <w:sig w:usb0="00000000" w:usb1="00000000" w:usb2="00000000" w:usb3="00000000" w:csb0="8000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6F48"/>
    <w:rsid w:val="00EE6F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2018-01-04T13:36:00Z</dcterms:created>
  <dc:creator>NYJ</dc:creator>
  <cp:lastModifiedBy>NYJ</cp:lastModifiedBy>
  <dcterms:modified xsi:type="dcterms:W3CDTF">2018-01-04T13:37:13Z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