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516E4">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eastAsia="zh-CN"/>
        </w:rPr>
        <w:t>贵州</w:t>
      </w:r>
      <w:r>
        <w:rPr>
          <w:rFonts w:hint="default" w:ascii="Times New Roman" w:hAnsi="Times New Roman" w:eastAsia="方正小标宋_GBK" w:cs="Times New Roman"/>
          <w:b w:val="0"/>
          <w:bCs w:val="0"/>
          <w:color w:val="auto"/>
          <w:sz w:val="44"/>
          <w:szCs w:val="44"/>
          <w:highlight w:val="none"/>
          <w:lang w:val="en-US" w:eastAsia="zh-CN"/>
        </w:rPr>
        <w:t>省</w:t>
      </w:r>
      <w:r>
        <w:rPr>
          <w:rFonts w:hint="default" w:ascii="Times New Roman" w:hAnsi="Times New Roman" w:eastAsia="方正小标宋_GBK" w:cs="Times New Roman"/>
          <w:b w:val="0"/>
          <w:bCs w:val="0"/>
          <w:color w:val="auto"/>
          <w:sz w:val="44"/>
          <w:szCs w:val="44"/>
          <w:highlight w:val="none"/>
        </w:rPr>
        <w:t>202</w:t>
      </w:r>
      <w:r>
        <w:rPr>
          <w:rFonts w:hint="eastAsia" w:eastAsia="方正小标宋_GBK" w:cs="Times New Roman"/>
          <w:b w:val="0"/>
          <w:bCs w:val="0"/>
          <w:color w:val="auto"/>
          <w:sz w:val="44"/>
          <w:szCs w:val="44"/>
          <w:highlight w:val="none"/>
          <w:lang w:val="en-US" w:eastAsia="zh-CN"/>
        </w:rPr>
        <w:t>6</w:t>
      </w:r>
      <w:r>
        <w:rPr>
          <w:rFonts w:hint="default" w:ascii="Times New Roman" w:hAnsi="Times New Roman" w:eastAsia="方正小标宋_GBK" w:cs="Times New Roman"/>
          <w:b w:val="0"/>
          <w:bCs w:val="0"/>
          <w:color w:val="auto"/>
          <w:sz w:val="44"/>
          <w:szCs w:val="44"/>
          <w:highlight w:val="none"/>
        </w:rPr>
        <w:t>年电力</w:t>
      </w:r>
      <w:r>
        <w:rPr>
          <w:rFonts w:hint="eastAsia" w:eastAsia="方正小标宋_GBK" w:cs="Times New Roman"/>
          <w:b w:val="0"/>
          <w:bCs w:val="0"/>
          <w:color w:val="auto"/>
          <w:sz w:val="44"/>
          <w:szCs w:val="44"/>
          <w:highlight w:val="none"/>
          <w:lang w:val="en-US" w:eastAsia="zh-CN"/>
        </w:rPr>
        <w:t>市场化</w:t>
      </w:r>
      <w:r>
        <w:rPr>
          <w:rFonts w:hint="default" w:ascii="Times New Roman" w:hAnsi="Times New Roman" w:eastAsia="方正小标宋_GBK" w:cs="Times New Roman"/>
          <w:b w:val="0"/>
          <w:bCs w:val="0"/>
          <w:color w:val="auto"/>
          <w:sz w:val="44"/>
          <w:szCs w:val="44"/>
          <w:highlight w:val="none"/>
        </w:rPr>
        <w:t>交易实施方案</w:t>
      </w:r>
    </w:p>
    <w:p w14:paraId="19B3A679">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征求意见稿</w:t>
      </w:r>
      <w:r>
        <w:rPr>
          <w:rFonts w:hint="eastAsia" w:ascii="楷体" w:hAnsi="楷体" w:eastAsia="楷体" w:cs="楷体"/>
          <w:b w:val="0"/>
          <w:bCs w:val="0"/>
          <w:color w:val="auto"/>
          <w:sz w:val="32"/>
          <w:szCs w:val="32"/>
          <w:highlight w:val="none"/>
          <w:lang w:eastAsia="zh-CN"/>
        </w:rPr>
        <w:t>）</w:t>
      </w:r>
    </w:p>
    <w:p w14:paraId="7FAA119B">
      <w:pPr>
        <w:tabs>
          <w:tab w:val="left" w:pos="2520"/>
        </w:tabs>
        <w:spacing w:line="600" w:lineRule="exact"/>
        <w:ind w:firstLine="640" w:firstLineChars="200"/>
        <w:rPr>
          <w:highlight w:val="none"/>
        </w:rPr>
      </w:pPr>
    </w:p>
    <w:p w14:paraId="5C3B2EB7">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为持续深化电力市场改革，优化电力资源配置，实现中长期交易与现货市场的有效衔接、省级市场与跨省跨区市场的有机融合、协同运行，</w:t>
      </w:r>
      <w:r>
        <w:rPr>
          <w:rFonts w:hint="default" w:ascii="Times New Roman" w:hAnsi="Times New Roman" w:eastAsia="仿宋_GB2312" w:cs="Times New Roman"/>
          <w:color w:val="auto"/>
          <w:sz w:val="32"/>
          <w:szCs w:val="32"/>
          <w:highlight w:val="none"/>
          <w:lang w:eastAsia="zh-CN"/>
        </w:rPr>
        <w:t>稳妥有序推进</w:t>
      </w:r>
      <w:r>
        <w:rPr>
          <w:rFonts w:hint="default" w:ascii="Times New Roman" w:hAnsi="Times New Roman" w:eastAsia="仿宋_GB2312" w:cs="Times New Roman"/>
          <w:color w:val="auto"/>
          <w:sz w:val="32"/>
          <w:szCs w:val="32"/>
          <w:highlight w:val="none"/>
          <w:lang w:val="en-US" w:eastAsia="zh-CN"/>
        </w:rPr>
        <w:t>202</w:t>
      </w:r>
      <w:r>
        <w:rPr>
          <w:rFonts w:hint="eastAsia"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年电力</w:t>
      </w:r>
      <w:r>
        <w:rPr>
          <w:rFonts w:hint="eastAsia" w:cs="Times New Roman"/>
          <w:color w:val="auto"/>
          <w:sz w:val="32"/>
          <w:szCs w:val="32"/>
          <w:highlight w:val="none"/>
          <w:lang w:val="en-US" w:eastAsia="zh-CN"/>
        </w:rPr>
        <w:t>市场化</w:t>
      </w:r>
      <w:r>
        <w:rPr>
          <w:rFonts w:hint="default" w:ascii="Times New Roman" w:hAnsi="Times New Roman" w:eastAsia="仿宋_GB2312" w:cs="Times New Roman"/>
          <w:color w:val="auto"/>
          <w:sz w:val="32"/>
          <w:szCs w:val="32"/>
          <w:highlight w:val="none"/>
          <w:lang w:val="en-US" w:eastAsia="zh-CN"/>
        </w:rPr>
        <w:t>交易工作</w:t>
      </w:r>
      <w:r>
        <w:rPr>
          <w:rFonts w:hint="eastAsia" w:cs="Times New Roman"/>
          <w:color w:val="auto"/>
          <w:sz w:val="32"/>
          <w:szCs w:val="32"/>
          <w:highlight w:val="none"/>
          <w:lang w:val="en-US" w:eastAsia="zh-CN"/>
        </w:rPr>
        <w:t>，依据国家发展改革委《关于进一步深化燃煤发电上网电价市场化改革的通知》（发改价格</w:t>
      </w:r>
      <w:r>
        <w:rPr>
          <w:rFonts w:hint="default" w:ascii="Times New Roman" w:hAnsi="Times New Roman" w:eastAsia="仿宋_GB2312" w:cs="Times New Roman"/>
          <w:color w:val="auto"/>
          <w:sz w:val="32"/>
          <w:szCs w:val="32"/>
          <w:highlight w:val="none"/>
          <w:lang w:eastAsia="zh-CN"/>
        </w:rPr>
        <w:t>〔20</w:t>
      </w:r>
      <w:r>
        <w:rPr>
          <w:rFonts w:hint="eastAsia"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lang w:eastAsia="zh-CN"/>
        </w:rPr>
        <w:t>〕</w:t>
      </w:r>
      <w:r>
        <w:rPr>
          <w:rFonts w:hint="eastAsia" w:cs="Times New Roman"/>
          <w:color w:val="auto"/>
          <w:sz w:val="32"/>
          <w:szCs w:val="32"/>
          <w:highlight w:val="none"/>
          <w:lang w:val="en-US" w:eastAsia="zh-CN"/>
        </w:rPr>
        <w:t>1439</w:t>
      </w:r>
      <w:r>
        <w:rPr>
          <w:rFonts w:hint="default" w:ascii="Times New Roman" w:hAnsi="Times New Roman" w:eastAsia="仿宋_GB2312" w:cs="Times New Roman"/>
          <w:color w:val="auto"/>
          <w:sz w:val="32"/>
          <w:szCs w:val="32"/>
          <w:highlight w:val="none"/>
          <w:lang w:eastAsia="zh-CN"/>
        </w:rPr>
        <w:t>号</w:t>
      </w:r>
      <w:r>
        <w:rPr>
          <w:rFonts w:hint="eastAsia" w:cs="Times New Roman"/>
          <w:color w:val="auto"/>
          <w:sz w:val="32"/>
          <w:szCs w:val="32"/>
          <w:highlight w:val="none"/>
          <w:lang w:val="en-US" w:eastAsia="zh-CN"/>
        </w:rPr>
        <w:t>）和《关于深化新能源上网电价市场化改革 促进新能源高质量发展的通知》（发改价格</w:t>
      </w:r>
      <w:r>
        <w:rPr>
          <w:rFonts w:hint="default" w:ascii="Times New Roman" w:hAnsi="Times New Roman" w:eastAsia="仿宋_GB2312" w:cs="Times New Roman"/>
          <w:color w:val="auto"/>
          <w:sz w:val="32"/>
          <w:szCs w:val="32"/>
          <w:highlight w:val="none"/>
          <w:lang w:eastAsia="zh-CN"/>
        </w:rPr>
        <w:t>〔20</w:t>
      </w:r>
      <w:r>
        <w:rPr>
          <w:rFonts w:hint="eastAsia"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lang w:eastAsia="zh-CN"/>
        </w:rPr>
        <w:t>〕</w:t>
      </w:r>
      <w:r>
        <w:rPr>
          <w:rFonts w:hint="eastAsia" w:cs="Times New Roman"/>
          <w:color w:val="auto"/>
          <w:sz w:val="32"/>
          <w:szCs w:val="32"/>
          <w:highlight w:val="none"/>
          <w:lang w:val="en-US" w:eastAsia="zh-CN"/>
        </w:rPr>
        <w:t>136</w:t>
      </w:r>
      <w:r>
        <w:rPr>
          <w:rFonts w:hint="default" w:ascii="Times New Roman" w:hAnsi="Times New Roman" w:eastAsia="仿宋_GB2312" w:cs="Times New Roman"/>
          <w:color w:val="auto"/>
          <w:sz w:val="32"/>
          <w:szCs w:val="32"/>
          <w:highlight w:val="none"/>
          <w:lang w:eastAsia="zh-CN"/>
        </w:rPr>
        <w:t>号</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，国家发展改革委 国家能源局《电力现货市场基本规则》（发改能源规〔2023〕1217号），南方区域电力市场和贵州电力市场相关规则及有关法律、法规、规定等文件，结合贵州电力市场</w:t>
      </w:r>
      <w:r>
        <w:rPr>
          <w:rFonts w:hint="default" w:ascii="Times New Roman" w:hAnsi="Times New Roman" w:eastAsia="仿宋_GB2312" w:cs="Times New Roman"/>
          <w:color w:val="auto"/>
          <w:sz w:val="32"/>
          <w:szCs w:val="32"/>
          <w:highlight w:val="none"/>
          <w:lang w:val="en-US" w:eastAsia="zh-CN"/>
        </w:rPr>
        <w:t>建设情况</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特制定本方案。</w:t>
      </w:r>
    </w:p>
    <w:p w14:paraId="5C6B4635">
      <w:pPr>
        <w:spacing w:line="600" w:lineRule="exact"/>
        <w:ind w:firstLine="640" w:firstLineChars="200"/>
        <w:outlineLvl w:val="0"/>
        <w:rPr>
          <w:rFonts w:eastAsia="黑体"/>
          <w:highlight w:val="none"/>
        </w:rPr>
      </w:pPr>
      <w:r>
        <w:rPr>
          <w:rFonts w:eastAsia="黑体"/>
          <w:highlight w:val="none"/>
        </w:rPr>
        <w:t>一、年度</w:t>
      </w:r>
      <w:r>
        <w:rPr>
          <w:rFonts w:hint="eastAsia" w:eastAsia="黑体"/>
          <w:highlight w:val="none"/>
          <w:lang w:eastAsia="zh-CN"/>
        </w:rPr>
        <w:t>交易</w:t>
      </w:r>
      <w:r>
        <w:rPr>
          <w:rFonts w:eastAsia="黑体"/>
          <w:highlight w:val="none"/>
        </w:rPr>
        <w:t>规模</w:t>
      </w:r>
    </w:p>
    <w:p w14:paraId="2B8B75E9">
      <w:pPr>
        <w:shd w:val="clear" w:color="auto" w:fill="auto"/>
        <w:spacing w:line="600" w:lineRule="exact"/>
        <w:ind w:firstLine="640" w:firstLineChars="200"/>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按照国家</w:t>
      </w:r>
      <w:r>
        <w:rPr>
          <w:rFonts w:hint="eastAsia"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lang w:val="en-US" w:eastAsia="zh-CN"/>
        </w:rPr>
        <w:t>要</w:t>
      </w:r>
      <w:r>
        <w:rPr>
          <w:rFonts w:hint="eastAsia" w:cs="Times New Roman"/>
          <w:color w:val="auto"/>
          <w:sz w:val="32"/>
          <w:szCs w:val="32"/>
          <w:highlight w:val="none"/>
          <w:lang w:val="en-US" w:eastAsia="zh-CN"/>
        </w:rPr>
        <w:t>求，燃煤发电企业年度电力中长期合同签约电量应不低于上一年度上网电量（不含跨省跨区优先计划送电电量）的80%，同时考虑满足2026年非水电消纳责任权重21.3%的预期目标，安排</w:t>
      </w:r>
      <w:r>
        <w:rPr>
          <w:rFonts w:hint="default" w:ascii="Times New Roman" w:hAnsi="Times New Roman" w:eastAsia="仿宋_GB2312" w:cs="Times New Roman"/>
          <w:color w:val="auto"/>
          <w:sz w:val="32"/>
          <w:szCs w:val="32"/>
          <w:highlight w:val="none"/>
          <w:lang w:val="en-US" w:eastAsia="zh-CN"/>
        </w:rPr>
        <w:t>202</w:t>
      </w:r>
      <w:r>
        <w:rPr>
          <w:rFonts w:hint="eastAsia"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年</w:t>
      </w:r>
      <w:r>
        <w:rPr>
          <w:rFonts w:hint="eastAsia" w:cs="Times New Roman"/>
          <w:color w:val="auto"/>
          <w:sz w:val="32"/>
          <w:szCs w:val="32"/>
          <w:highlight w:val="none"/>
          <w:lang w:val="en-US" w:eastAsia="zh-CN"/>
        </w:rPr>
        <w:t>年度发电侧交易规模不低于750亿千瓦时（含绿电规模150亿千瓦时）；电力用户（含售电公司）不低于上一年度用电量（含售电公司代理用户上一年度用电量）的80%，安排2026年年度用电侧交易规模不低于600亿千瓦时。</w:t>
      </w:r>
      <w:r>
        <w:rPr>
          <w:rFonts w:hint="eastAsia"/>
          <w:highlight w:val="none"/>
          <w:lang w:eastAsia="zh-CN"/>
        </w:rPr>
        <w:t>对未满足中长期签约比例要求的发用电侧主体按照发用电侧中长期交易偏差收益回收参数进行偏差收益回收。</w:t>
      </w:r>
    </w:p>
    <w:p w14:paraId="36152375">
      <w:pPr>
        <w:shd w:val="clear" w:color="auto" w:fill="auto"/>
        <w:spacing w:line="60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cs="Times New Roman"/>
          <w:b w:val="0"/>
          <w:color w:val="auto"/>
          <w:kern w:val="2"/>
          <w:sz w:val="32"/>
          <w:szCs w:val="32"/>
          <w:highlight w:val="none"/>
          <w:lang w:val="en-US" w:eastAsia="zh-CN" w:bidi="ar-SA"/>
        </w:rPr>
        <w:t>新能源发电企业</w:t>
      </w:r>
      <w:r>
        <w:rPr>
          <w:rFonts w:hint="eastAsia" w:ascii="Times New Roman" w:hAnsi="Times New Roman" w:eastAsia="仿宋_GB2312" w:cs="Times New Roman"/>
          <w:b w:val="0"/>
          <w:color w:val="auto"/>
          <w:kern w:val="2"/>
          <w:sz w:val="32"/>
          <w:szCs w:val="32"/>
          <w:highlight w:val="none"/>
          <w:lang w:val="en-US" w:eastAsia="zh-CN" w:bidi="ar-SA"/>
        </w:rPr>
        <w:t>机制电量之外的上网电量，自主决定是否参与</w:t>
      </w:r>
      <w:r>
        <w:rPr>
          <w:rFonts w:hint="eastAsia" w:cs="Times New Roman"/>
          <w:b w:val="0"/>
          <w:color w:val="auto"/>
          <w:kern w:val="2"/>
          <w:sz w:val="32"/>
          <w:szCs w:val="32"/>
          <w:highlight w:val="none"/>
          <w:lang w:val="en-US" w:eastAsia="zh-CN" w:bidi="ar-SA"/>
        </w:rPr>
        <w:t>省内</w:t>
      </w:r>
      <w:r>
        <w:rPr>
          <w:rFonts w:hint="eastAsia" w:ascii="Times New Roman" w:hAnsi="Times New Roman" w:eastAsia="仿宋_GB2312" w:cs="Times New Roman"/>
          <w:b w:val="0"/>
          <w:color w:val="auto"/>
          <w:kern w:val="2"/>
          <w:sz w:val="32"/>
          <w:szCs w:val="32"/>
          <w:highlight w:val="none"/>
          <w:lang w:val="en-US" w:eastAsia="zh-CN" w:bidi="ar-SA"/>
        </w:rPr>
        <w:t>中长期电能量市场。</w:t>
      </w:r>
    </w:p>
    <w:p w14:paraId="7C508E87">
      <w:pPr>
        <w:spacing w:line="600" w:lineRule="exact"/>
        <w:ind w:firstLine="640" w:firstLineChars="200"/>
        <w:rPr>
          <w:highlight w:val="none"/>
        </w:rPr>
      </w:pPr>
      <w:r>
        <w:rPr>
          <w:rFonts w:eastAsia="黑体"/>
          <w:highlight w:val="none"/>
        </w:rPr>
        <w:t>二、</w:t>
      </w:r>
      <w:r>
        <w:rPr>
          <w:rFonts w:hint="default" w:ascii="Times New Roman" w:hAnsi="Times New Roman" w:eastAsia="黑体" w:cs="Times New Roman"/>
          <w:b w:val="0"/>
          <w:bCs w:val="0"/>
          <w:color w:val="auto"/>
          <w:sz w:val="32"/>
          <w:szCs w:val="32"/>
          <w:highlight w:val="none"/>
          <w:lang w:val="en-US" w:eastAsia="zh-CN"/>
        </w:rPr>
        <w:t>参与</w:t>
      </w:r>
      <w:r>
        <w:rPr>
          <w:rFonts w:hint="eastAsia" w:eastAsia="黑体" w:cs="Times New Roman"/>
          <w:b w:val="0"/>
          <w:bCs w:val="0"/>
          <w:color w:val="auto"/>
          <w:sz w:val="32"/>
          <w:szCs w:val="32"/>
          <w:highlight w:val="none"/>
          <w:lang w:val="en-US" w:eastAsia="zh-CN"/>
        </w:rPr>
        <w:t>市场交易</w:t>
      </w:r>
      <w:r>
        <w:rPr>
          <w:rFonts w:hint="default" w:ascii="Times New Roman" w:hAnsi="Times New Roman" w:eastAsia="黑体" w:cs="Times New Roman"/>
          <w:b w:val="0"/>
          <w:bCs w:val="0"/>
          <w:color w:val="auto"/>
          <w:sz w:val="32"/>
          <w:szCs w:val="32"/>
          <w:highlight w:val="none"/>
          <w:lang w:val="en-US" w:eastAsia="zh-CN"/>
        </w:rPr>
        <w:t>经营主体</w:t>
      </w:r>
    </w:p>
    <w:p w14:paraId="35592DDF">
      <w:pPr>
        <w:widowControl/>
        <w:spacing w:line="600" w:lineRule="exact"/>
        <w:ind w:firstLine="640" w:firstLineChars="200"/>
        <w:jc w:val="left"/>
        <w:rPr>
          <w:highlight w:val="none"/>
        </w:rPr>
      </w:pPr>
      <w:r>
        <w:rPr>
          <w:rFonts w:hint="eastAsia"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lang w:eastAsia="zh-CN"/>
        </w:rPr>
        <w:t>贵州电力交易中心（以下简称交易中心）完成入市注册的发电企业</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售电公司、电力用户</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新型经营主体（含储能企业、虚拟电厂等）</w:t>
      </w:r>
      <w:r>
        <w:rPr>
          <w:rFonts w:hint="default" w:ascii="Times New Roman" w:hAnsi="Times New Roman" w:eastAsia="仿宋_GB2312" w:cs="Times New Roman"/>
          <w:color w:val="auto"/>
          <w:sz w:val="32"/>
          <w:szCs w:val="32"/>
          <w:highlight w:val="none"/>
          <w:lang w:eastAsia="zh-CN"/>
        </w:rPr>
        <w:t>，可参与电力市场化交易。</w:t>
      </w:r>
    </w:p>
    <w:p w14:paraId="79C53469">
      <w:pPr>
        <w:spacing w:line="600" w:lineRule="exact"/>
        <w:ind w:firstLine="640"/>
        <w:rPr>
          <w:rFonts w:eastAsia="黑体"/>
          <w:highlight w:val="none"/>
        </w:rPr>
      </w:pPr>
      <w:r>
        <w:rPr>
          <w:highlight w:val="none"/>
        </w:rPr>
        <w:t>落实国家关于有序推动全部工商业用户进入电力市场的要求，10kV及以上的工商业用户</w:t>
      </w:r>
      <w:r>
        <w:rPr>
          <w:rFonts w:hint="eastAsia"/>
          <w:highlight w:val="none"/>
          <w:lang w:val="en-US" w:eastAsia="zh-CN"/>
        </w:rPr>
        <w:t>全部</w:t>
      </w:r>
      <w:r>
        <w:rPr>
          <w:rFonts w:hint="eastAsia"/>
          <w:highlight w:val="none"/>
          <w:lang w:eastAsia="zh-CN"/>
        </w:rPr>
        <w:t>进入市场。</w:t>
      </w:r>
    </w:p>
    <w:p w14:paraId="3D9FE784">
      <w:pPr>
        <w:spacing w:line="600" w:lineRule="exact"/>
        <w:ind w:firstLine="640"/>
        <w:rPr>
          <w:rFonts w:hint="eastAsia" w:eastAsia="黑体"/>
          <w:highlight w:val="none"/>
          <w:lang w:eastAsia="zh-CN"/>
        </w:rPr>
      </w:pPr>
      <w:r>
        <w:rPr>
          <w:rFonts w:eastAsia="黑体"/>
          <w:highlight w:val="none"/>
        </w:rPr>
        <w:t>三、</w:t>
      </w:r>
      <w:r>
        <w:rPr>
          <w:rFonts w:hint="eastAsia" w:eastAsia="黑体"/>
          <w:highlight w:val="none"/>
          <w:lang w:eastAsia="zh-CN"/>
        </w:rPr>
        <w:t>交易品种及组织方式</w:t>
      </w:r>
    </w:p>
    <w:p w14:paraId="68E3FA4D">
      <w:pPr>
        <w:ind w:firstLine="640"/>
        <w:rPr>
          <w:rFonts w:hint="eastAsia" w:ascii="Times New Roman" w:hAnsi="Times New Roman" w:eastAsia="楷体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u w:val="none"/>
          <w:lang w:eastAsia="zh-CN"/>
          <w14:textFill>
            <w14:solidFill>
              <w14:schemeClr w14:val="tx1"/>
            </w14:solidFill>
          </w14:textFill>
        </w:rPr>
        <w:t>（一）交易品种</w:t>
      </w:r>
    </w:p>
    <w:p w14:paraId="3EEF2544">
      <w:pPr>
        <w:widowControl/>
        <w:spacing w:line="600" w:lineRule="exact"/>
        <w:ind w:firstLine="640" w:firstLineChars="200"/>
        <w:jc w:val="left"/>
        <w:rPr>
          <w:rFonts w:hint="default" w:ascii="Times New Roman" w:hAnsi="Times New Roman" w:eastAsia="仿宋_GB2312" w:cs="Times New Roman"/>
          <w:color w:val="auto"/>
          <w:sz w:val="32"/>
          <w:szCs w:val="32"/>
          <w:highlight w:val="none"/>
          <w:lang w:eastAsia="zh-CN"/>
        </w:rPr>
      </w:pPr>
      <w:r>
        <w:rPr>
          <w:rFonts w:hint="eastAsia" w:ascii="Times New Roman" w:hAnsi="Times New Roman" w:cs="Times New Roman"/>
          <w:color w:val="auto"/>
          <w:sz w:val="32"/>
          <w:szCs w:val="32"/>
          <w:highlight w:val="none"/>
          <w:lang w:val="en-US" w:eastAsia="zh-CN"/>
        </w:rPr>
        <w:t xml:space="preserve">1. </w:t>
      </w:r>
      <w:r>
        <w:rPr>
          <w:rFonts w:hint="eastAsia" w:ascii="Times New Roman" w:hAnsi="Times New Roman" w:cs="Times New Roman"/>
          <w:color w:val="auto"/>
          <w:sz w:val="32"/>
          <w:szCs w:val="32"/>
          <w:highlight w:val="none"/>
          <w:lang w:eastAsia="zh-CN"/>
        </w:rPr>
        <w:t>电力中长期</w:t>
      </w:r>
      <w:r>
        <w:rPr>
          <w:rFonts w:hint="default" w:ascii="Times New Roman" w:hAnsi="Times New Roman" w:eastAsia="仿宋_GB2312" w:cs="Times New Roman"/>
          <w:color w:val="auto"/>
          <w:sz w:val="32"/>
          <w:szCs w:val="32"/>
          <w:highlight w:val="none"/>
          <w:lang w:eastAsia="zh-CN"/>
        </w:rPr>
        <w:t>交易</w:t>
      </w:r>
    </w:p>
    <w:p w14:paraId="20F78D5F">
      <w:pPr>
        <w:widowControl/>
        <w:spacing w:line="600" w:lineRule="exact"/>
        <w:ind w:firstLine="640" w:firstLineChars="0"/>
        <w:jc w:val="left"/>
        <w:rPr>
          <w:rFonts w:hint="default" w:ascii="Times New Roman" w:hAnsi="Times New Roman" w:cs="Times New Roman"/>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lang w:eastAsia="zh-CN"/>
        </w:rPr>
        <w:t>指在电力中长期市场中开展的</w:t>
      </w:r>
      <w:r>
        <w:rPr>
          <w:rFonts w:hint="default" w:ascii="Times New Roman" w:hAnsi="Times New Roman" w:eastAsia="仿宋_GB2312" w:cs="Times New Roman"/>
          <w:b w:val="0"/>
          <w:bCs w:val="0"/>
          <w:color w:val="auto"/>
          <w:sz w:val="32"/>
          <w:szCs w:val="32"/>
          <w:highlight w:val="none"/>
          <w:lang w:val="en-US" w:eastAsia="zh-CN"/>
        </w:rPr>
        <w:t>对未来</w:t>
      </w:r>
      <w:r>
        <w:rPr>
          <w:rFonts w:hint="default" w:ascii="Times New Roman" w:hAnsi="Times New Roman" w:eastAsia="仿宋_GB2312" w:cs="Times New Roman"/>
          <w:b w:val="0"/>
          <w:bCs w:val="0"/>
          <w:color w:val="auto"/>
          <w:sz w:val="32"/>
          <w:szCs w:val="32"/>
          <w:highlight w:val="none"/>
          <w:lang w:val="en-US" w:eastAsia="zh-Hans"/>
        </w:rPr>
        <w:t>某一</w:t>
      </w:r>
      <w:r>
        <w:rPr>
          <w:rFonts w:hint="default" w:ascii="Times New Roman" w:hAnsi="Times New Roman" w:eastAsia="仿宋_GB2312" w:cs="Times New Roman"/>
          <w:b w:val="0"/>
          <w:bCs w:val="0"/>
          <w:color w:val="auto"/>
          <w:sz w:val="32"/>
          <w:szCs w:val="32"/>
          <w:highlight w:val="none"/>
          <w:lang w:val="en-US" w:eastAsia="zh-CN"/>
        </w:rPr>
        <w:t>时期内交割电力产品或服务的交易。</w:t>
      </w:r>
      <w:r>
        <w:rPr>
          <w:rFonts w:hint="default" w:cs="Times New Roman"/>
          <w:color w:val="auto"/>
          <w:sz w:val="32"/>
          <w:szCs w:val="32"/>
          <w:highlight w:val="none"/>
          <w:u w:val="none"/>
          <w:lang w:eastAsia="zh-CN"/>
        </w:rPr>
        <w:t>其中中长期市场是指</w:t>
      </w:r>
      <w:r>
        <w:rPr>
          <w:rFonts w:hint="default" w:ascii="Times New Roman" w:hAnsi="Times New Roman" w:eastAsia="仿宋_GB2312" w:cs="Times New Roman"/>
          <w:b w:val="0"/>
          <w:bCs w:val="0"/>
          <w:color w:val="auto"/>
          <w:sz w:val="32"/>
          <w:szCs w:val="32"/>
          <w:highlight w:val="none"/>
          <w:lang w:eastAsia="zh-CN"/>
        </w:rPr>
        <w:t>符合市场注册条件的经营主体开展</w:t>
      </w:r>
      <w:r>
        <w:rPr>
          <w:rFonts w:hint="default" w:ascii="Times New Roman" w:hAnsi="Times New Roman" w:eastAsia="仿宋_GB2312" w:cs="Times New Roman"/>
          <w:b w:val="0"/>
          <w:bCs w:val="0"/>
          <w:color w:val="auto"/>
          <w:sz w:val="32"/>
          <w:szCs w:val="32"/>
          <w:highlight w:val="none"/>
          <w:lang w:val="en-US" w:eastAsia="zh-Hans"/>
        </w:rPr>
        <w:t>数年</w:t>
      </w:r>
      <w:r>
        <w:rPr>
          <w:rFonts w:hint="default" w:ascii="Times New Roman" w:hAnsi="Times New Roman" w:eastAsia="仿宋_GB2312" w:cs="Times New Roman"/>
          <w:b w:val="0"/>
          <w:bCs w:val="0"/>
          <w:color w:val="auto"/>
          <w:sz w:val="32"/>
          <w:szCs w:val="32"/>
          <w:highlight w:val="none"/>
          <w:lang w:val="en-US" w:eastAsia="zh-CN"/>
        </w:rPr>
        <w:t>、年、月、月内（含</w:t>
      </w:r>
      <w:r>
        <w:rPr>
          <w:rFonts w:hint="default" w:ascii="Times New Roman" w:hAnsi="Times New Roman" w:eastAsia="仿宋_GB2312" w:cs="Times New Roman"/>
          <w:b w:val="0"/>
          <w:bCs w:val="0"/>
          <w:color w:val="auto"/>
          <w:sz w:val="32"/>
          <w:szCs w:val="32"/>
          <w:highlight w:val="none"/>
          <w:lang w:val="en-US" w:eastAsia="zh-Hans"/>
        </w:rPr>
        <w:t>周</w:t>
      </w:r>
      <w:r>
        <w:rPr>
          <w:rFonts w:hint="default" w:ascii="Times New Roman" w:hAnsi="Times New Roman" w:eastAsia="仿宋_GB2312" w:cs="Times New Roman"/>
          <w:b w:val="0"/>
          <w:bCs w:val="0"/>
          <w:color w:val="auto"/>
          <w:sz w:val="32"/>
          <w:szCs w:val="32"/>
          <w:highlight w:val="none"/>
          <w:lang w:val="en-US" w:eastAsia="zh-CN"/>
        </w:rPr>
        <w:t>、多日）等不同时间维度的</w:t>
      </w:r>
      <w:r>
        <w:rPr>
          <w:rFonts w:hint="default" w:ascii="Times New Roman" w:hAnsi="Times New Roman" w:eastAsia="仿宋_GB2312" w:cs="Times New Roman"/>
          <w:b w:val="0"/>
          <w:bCs w:val="0"/>
          <w:color w:val="auto"/>
          <w:sz w:val="32"/>
          <w:szCs w:val="32"/>
          <w:highlight w:val="none"/>
          <w:lang w:val="en-US" w:eastAsia="zh-Hans"/>
        </w:rPr>
        <w:t>电能量</w:t>
      </w:r>
      <w:r>
        <w:rPr>
          <w:rFonts w:hint="default" w:ascii="Times New Roman" w:hAnsi="Times New Roman" w:eastAsia="仿宋_GB2312" w:cs="Times New Roman"/>
          <w:b w:val="0"/>
          <w:bCs w:val="0"/>
          <w:color w:val="auto"/>
          <w:sz w:val="32"/>
          <w:szCs w:val="32"/>
          <w:highlight w:val="none"/>
          <w:lang w:val="en-US" w:eastAsia="zh-CN"/>
        </w:rPr>
        <w:t>交易</w:t>
      </w:r>
      <w:r>
        <w:rPr>
          <w:rFonts w:hint="default" w:ascii="Times New Roman" w:hAnsi="Times New Roman" w:eastAsia="仿宋_GB2312" w:cs="Times New Roman"/>
          <w:b w:val="0"/>
          <w:bCs w:val="0"/>
          <w:color w:val="auto"/>
          <w:sz w:val="32"/>
          <w:szCs w:val="32"/>
          <w:highlight w:val="none"/>
          <w:lang w:eastAsia="zh-CN"/>
        </w:rPr>
        <w:t>的市场。</w:t>
      </w:r>
      <w:r>
        <w:rPr>
          <w:rFonts w:hint="default" w:ascii="Times New Roman" w:hAnsi="Times New Roman" w:cs="Times New Roman"/>
          <w:color w:val="auto"/>
          <w:sz w:val="32"/>
          <w:szCs w:val="32"/>
          <w:highlight w:val="none"/>
          <w:u w:val="none"/>
          <w:lang w:eastAsia="zh-CN"/>
        </w:rPr>
        <w:t>绿色电力交易是电力中长期交易的组成部分。</w:t>
      </w:r>
    </w:p>
    <w:p w14:paraId="462B8934">
      <w:pPr>
        <w:widowControl/>
        <w:spacing w:line="600" w:lineRule="exact"/>
        <w:ind w:firstLine="640" w:firstLineChars="200"/>
        <w:jc w:val="left"/>
        <w:rPr>
          <w:rFonts w:hint="default" w:ascii="Times New Roman" w:hAnsi="Times New Roman" w:eastAsia="仿宋_GB2312" w:cs="Times New Roman"/>
          <w:color w:val="auto"/>
          <w:sz w:val="32"/>
          <w:szCs w:val="32"/>
          <w:highlight w:val="none"/>
          <w:lang w:eastAsia="zh-CN"/>
        </w:rPr>
      </w:pPr>
      <w:r>
        <w:rPr>
          <w:rFonts w:hint="eastAsia" w:ascii="Times New Roman" w:hAnsi="Times New Roman" w:cs="Times New Roman"/>
          <w:color w:val="auto"/>
          <w:sz w:val="32"/>
          <w:szCs w:val="32"/>
          <w:highlight w:val="none"/>
          <w:lang w:val="en-US" w:eastAsia="zh-CN"/>
        </w:rPr>
        <w:t xml:space="preserve">2. </w:t>
      </w:r>
      <w:r>
        <w:rPr>
          <w:rFonts w:hint="eastAsia" w:ascii="Times New Roman" w:hAnsi="Times New Roman" w:cs="Times New Roman"/>
          <w:color w:val="auto"/>
          <w:sz w:val="32"/>
          <w:szCs w:val="32"/>
          <w:highlight w:val="none"/>
          <w:lang w:eastAsia="zh-CN"/>
        </w:rPr>
        <w:t>电力现货</w:t>
      </w:r>
      <w:r>
        <w:rPr>
          <w:rFonts w:hint="default" w:ascii="Times New Roman" w:hAnsi="Times New Roman" w:eastAsia="仿宋_GB2312" w:cs="Times New Roman"/>
          <w:color w:val="auto"/>
          <w:sz w:val="32"/>
          <w:szCs w:val="32"/>
          <w:highlight w:val="none"/>
          <w:lang w:eastAsia="zh-CN"/>
        </w:rPr>
        <w:t>交易</w:t>
      </w:r>
    </w:p>
    <w:p w14:paraId="006EE5C3">
      <w:pPr>
        <w:widowControl/>
        <w:spacing w:line="600" w:lineRule="exact"/>
        <w:ind w:firstLine="640" w:firstLineChars="200"/>
        <w:jc w:val="both"/>
        <w:rPr>
          <w:rFonts w:hint="default" w:ascii="Times New Roman" w:hAnsi="Times New Roman"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cs="Times New Roman"/>
          <w:color w:val="000000" w:themeColor="text1"/>
          <w:sz w:val="32"/>
          <w:szCs w:val="32"/>
          <w:highlight w:val="none"/>
          <w:u w:val="none"/>
          <w:lang w:eastAsia="zh-CN"/>
          <w14:textFill>
            <w14:solidFill>
              <w14:schemeClr w14:val="tx1"/>
            </w14:solidFill>
          </w14:textFill>
        </w:rPr>
        <w:t>通过现货交易平台在日前及更短时间内集中开展的次日、日内至实时调度之前电力交易活动的总称。</w:t>
      </w:r>
    </w:p>
    <w:p w14:paraId="3B4BA67F">
      <w:pPr>
        <w:widowControl/>
        <w:numPr>
          <w:ilvl w:val="0"/>
          <w:numId w:val="1"/>
        </w:numPr>
        <w:spacing w:line="600" w:lineRule="exact"/>
        <w:ind w:firstLine="640" w:firstLineChars="200"/>
        <w:jc w:val="left"/>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电网代理购电交易</w:t>
      </w:r>
    </w:p>
    <w:p w14:paraId="4586E868">
      <w:pPr>
        <w:widowControl/>
        <w:spacing w:line="600" w:lineRule="exact"/>
        <w:ind w:firstLine="640" w:firstLineChars="200"/>
        <w:rPr>
          <w:rFonts w:hint="default" w:ascii="Times New Roman" w:hAnsi="Times New Roman" w:eastAsia="楷体" w:cs="Times New Roman"/>
          <w:color w:val="000000" w:themeColor="text1"/>
          <w:sz w:val="32"/>
          <w:szCs w:val="32"/>
          <w:highlight w:val="none"/>
          <w:u w:val="none"/>
          <w14:textFill>
            <w14:solidFill>
              <w14:schemeClr w14:val="tx1"/>
            </w14:solidFill>
          </w14:textFill>
        </w:rPr>
      </w:pPr>
      <w:r>
        <w:rPr>
          <w:rFonts w:hint="eastAsia" w:ascii="Times New Roman" w:hAnsi="Times New Roman" w:eastAsia="仿宋_GB2312" w:cs="仿宋_GB2312"/>
          <w:i w:val="0"/>
          <w:iCs w:val="0"/>
          <w:caps w:val="0"/>
          <w:color w:val="auto"/>
          <w:spacing w:val="0"/>
          <w:kern w:val="0"/>
          <w:sz w:val="32"/>
          <w:szCs w:val="32"/>
          <w:highlight w:val="none"/>
          <w:lang w:val="en-US" w:eastAsia="zh-CN" w:bidi="ar"/>
        </w:rPr>
        <w:t>电网企业</w:t>
      </w:r>
      <w:r>
        <w:rPr>
          <w:rFonts w:hint="eastAsia" w:cs="仿宋_GB2312"/>
          <w:i w:val="0"/>
          <w:iCs w:val="0"/>
          <w:caps w:val="0"/>
          <w:color w:val="auto"/>
          <w:spacing w:val="0"/>
          <w:kern w:val="0"/>
          <w:sz w:val="32"/>
          <w:szCs w:val="32"/>
          <w:highlight w:val="none"/>
          <w:lang w:val="en-US" w:eastAsia="zh-CN" w:bidi="ar"/>
        </w:rPr>
        <w:t>可通过</w:t>
      </w:r>
      <w:r>
        <w:rPr>
          <w:rFonts w:hint="eastAsia" w:ascii="Times New Roman" w:hAnsi="Times New Roman" w:eastAsia="仿宋_GB2312" w:cs="仿宋_GB2312"/>
          <w:i w:val="0"/>
          <w:iCs w:val="0"/>
          <w:caps w:val="0"/>
          <w:color w:val="auto"/>
          <w:spacing w:val="0"/>
          <w:kern w:val="0"/>
          <w:sz w:val="32"/>
          <w:szCs w:val="32"/>
          <w:highlight w:val="none"/>
          <w:lang w:val="en-US" w:eastAsia="zh-CN" w:bidi="ar"/>
        </w:rPr>
        <w:t>市场化方式采购</w:t>
      </w:r>
      <w:r>
        <w:rPr>
          <w:rFonts w:hint="eastAsia" w:cs="仿宋_GB2312"/>
          <w:i w:val="0"/>
          <w:iCs w:val="0"/>
          <w:caps w:val="0"/>
          <w:color w:val="auto"/>
          <w:spacing w:val="0"/>
          <w:kern w:val="0"/>
          <w:sz w:val="32"/>
          <w:szCs w:val="32"/>
          <w:highlight w:val="none"/>
          <w:lang w:val="en-US" w:eastAsia="zh-CN" w:bidi="ar"/>
        </w:rPr>
        <w:t>燃煤机组电量和新能源电量，</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电网企业代理购电</w:t>
      </w:r>
      <w:r>
        <w:rPr>
          <w:rFonts w:hint="eastAsia" w:ascii="仿宋_GB2312" w:hAnsi="仿宋_GB2312" w:cs="仿宋_GB2312"/>
          <w:b w:val="0"/>
          <w:color w:val="000000" w:themeColor="text1"/>
          <w:kern w:val="2"/>
          <w:sz w:val="32"/>
          <w:szCs w:val="32"/>
          <w:highlight w:val="none"/>
          <w:lang w:val="en-US" w:eastAsia="zh-CN" w:bidi="ar-SA"/>
          <w14:textFill>
            <w14:solidFill>
              <w14:schemeClr w14:val="tx1"/>
            </w14:solidFill>
          </w14:textFill>
        </w:rPr>
        <w:t>交易可通过</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年度</w:t>
      </w:r>
      <w:r>
        <w:rPr>
          <w:rFonts w:hint="eastAsia" w:ascii="仿宋_GB2312" w:hAnsi="仿宋_GB2312" w:cs="仿宋_GB2312"/>
          <w:b w:val="0"/>
          <w:bCs w:val="0"/>
          <w:color w:val="000000" w:themeColor="text1"/>
          <w:kern w:val="2"/>
          <w:sz w:val="32"/>
          <w:szCs w:val="32"/>
          <w:highlight w:val="none"/>
          <w:lang w:val="en-US" w:eastAsia="zh-CN" w:bidi="ar-SA"/>
          <w14:textFill>
            <w14:solidFill>
              <w14:schemeClr w14:val="tx1"/>
            </w14:solidFill>
          </w14:textFill>
        </w:rPr>
        <w:t>、月度及月内</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挂牌</w:t>
      </w:r>
      <w:r>
        <w:rPr>
          <w:rFonts w:hint="eastAsia" w:ascii="仿宋_GB2312" w:hAnsi="仿宋_GB2312" w:cs="仿宋_GB2312"/>
          <w:b w:val="0"/>
          <w:color w:val="000000" w:themeColor="text1"/>
          <w:kern w:val="2"/>
          <w:sz w:val="32"/>
          <w:szCs w:val="32"/>
          <w:highlight w:val="none"/>
          <w:lang w:val="en-US" w:eastAsia="zh-CN" w:bidi="ar-SA"/>
          <w14:textFill>
            <w14:solidFill>
              <w14:schemeClr w14:val="tx1"/>
            </w14:solidFill>
          </w14:textFill>
        </w:rPr>
        <w:t>开展</w:t>
      </w:r>
      <w:r>
        <w:rPr>
          <w:rFonts w:hint="eastAsia" w:ascii="仿宋_GB2312" w:hAnsi="仿宋_GB2312" w:eastAsia="仿宋_GB2312" w:cs="仿宋_GB2312"/>
          <w:b w:val="0"/>
          <w:color w:val="000000" w:themeColor="text1"/>
          <w:kern w:val="2"/>
          <w:sz w:val="32"/>
          <w:szCs w:val="32"/>
          <w:highlight w:val="none"/>
          <w:lang w:val="en-US" w:eastAsia="zh-CN" w:bidi="ar-SA"/>
          <w14:textFill>
            <w14:solidFill>
              <w14:schemeClr w14:val="tx1"/>
            </w14:solidFill>
          </w14:textFill>
        </w:rPr>
        <w:t>，市场化机组均可摘牌</w:t>
      </w:r>
      <w:r>
        <w:rPr>
          <w:rFonts w:hint="eastAsia" w:ascii="仿宋_GB2312" w:hAnsi="仿宋_GB2312" w:cs="仿宋_GB2312"/>
          <w:b w:val="0"/>
          <w:color w:val="000000" w:themeColor="text1"/>
          <w:kern w:val="2"/>
          <w:sz w:val="32"/>
          <w:szCs w:val="32"/>
          <w:highlight w:val="none"/>
          <w:lang w:val="en-US" w:eastAsia="zh-CN" w:bidi="ar-SA"/>
          <w14:textFill>
            <w14:solidFill>
              <w14:schemeClr w14:val="tx1"/>
            </w14:solidFill>
          </w14:textFill>
        </w:rPr>
        <w:t>，可挂正电量或负电量。</w:t>
      </w:r>
    </w:p>
    <w:p w14:paraId="44753047">
      <w:pPr>
        <w:numPr>
          <w:ilvl w:val="0"/>
          <w:numId w:val="1"/>
        </w:numPr>
        <w:ind w:left="0" w:leftChars="0" w:firstLine="640" w:firstLineChars="200"/>
        <w:rPr>
          <w:rFonts w:hint="default" w:ascii="Times New Roman" w:hAnsi="Times New Roman" w:eastAsia="楷体" w:cs="Times New Roman"/>
          <w:color w:val="000000" w:themeColor="text1"/>
          <w:sz w:val="32"/>
          <w:szCs w:val="32"/>
          <w:highlight w:val="none"/>
          <w:u w:val="none"/>
          <w14:textFill>
            <w14:solidFill>
              <w14:schemeClr w14:val="tx1"/>
            </w14:solidFill>
          </w14:textFill>
        </w:rPr>
      </w:pPr>
      <w:r>
        <w:rPr>
          <w:rFonts w:hint="default" w:ascii="Times New Roman" w:hAnsi="Times New Roman" w:cs="Times New Roman"/>
          <w:color w:val="auto"/>
          <w:sz w:val="32"/>
          <w:szCs w:val="32"/>
          <w:highlight w:val="none"/>
          <w:lang w:eastAsia="zh-CN"/>
        </w:rPr>
        <w:t>发电合同转让交易</w:t>
      </w:r>
    </w:p>
    <w:p w14:paraId="4E04E09E">
      <w:pPr>
        <w:ind w:firstLine="640"/>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ascii="Times New Roman" w:hAnsi="Times New Roman" w:eastAsia="仿宋_GB2312" w:cs="Times New Roman"/>
          <w:color w:val="000000" w:themeColor="text1"/>
          <w:sz w:val="32"/>
          <w:szCs w:val="32"/>
          <w:highlight w:val="none"/>
          <w:u w:val="none"/>
          <w14:textFill>
            <w14:solidFill>
              <w14:schemeClr w14:val="tx1"/>
            </w14:solidFill>
          </w14:textFill>
        </w:rPr>
        <w:t>开展水电机组与燃煤发电机组</w:t>
      </w:r>
      <w:r>
        <w:rPr>
          <w:rFonts w:hint="eastAsia" w:cs="Times New Roman"/>
          <w:color w:val="000000" w:themeColor="text1"/>
          <w:sz w:val="32"/>
          <w:szCs w:val="32"/>
          <w:highlight w:val="none"/>
          <w:u w:val="none"/>
          <w:lang w:eastAsia="zh-CN"/>
          <w14:textFill>
            <w14:solidFill>
              <w14:schemeClr w14:val="tx1"/>
            </w14:solidFill>
          </w14:textFill>
        </w:rPr>
        <w:t>委托</w:t>
      </w:r>
      <w:r>
        <w:rPr>
          <w:rFonts w:ascii="Times New Roman" w:hAnsi="Times New Roman" w:eastAsia="仿宋_GB2312" w:cs="Times New Roman"/>
          <w:color w:val="000000" w:themeColor="text1"/>
          <w:sz w:val="32"/>
          <w:szCs w:val="32"/>
          <w:highlight w:val="none"/>
          <w:u w:val="none"/>
          <w14:textFill>
            <w14:solidFill>
              <w14:schemeClr w14:val="tx1"/>
            </w14:solidFill>
          </w14:textFill>
        </w:rPr>
        <w:t>发电合同转让交易</w:t>
      </w:r>
      <w:r>
        <w:rPr>
          <w:rFonts w:hint="eastAsia" w:cs="Times New Roman"/>
          <w:color w:val="auto"/>
          <w:sz w:val="32"/>
          <w:szCs w:val="32"/>
          <w:highlight w:val="none"/>
          <w:lang w:eastAsia="zh-CN"/>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具体方案另行制定。</w:t>
      </w:r>
    </w:p>
    <w:p w14:paraId="137494A2">
      <w:pPr>
        <w:numPr>
          <w:ilvl w:val="0"/>
          <w:numId w:val="1"/>
        </w:numPr>
        <w:ind w:left="0" w:leftChars="0" w:firstLine="640" w:firstLineChars="200"/>
        <w:rPr>
          <w:rFonts w:hint="default" w:ascii="Times New Roman" w:hAnsi="Times New Roman" w:cs="Times New Roman"/>
          <w:color w:val="auto"/>
          <w:sz w:val="32"/>
          <w:szCs w:val="32"/>
          <w:highlight w:val="none"/>
          <w:lang w:val="en-US" w:eastAsia="zh-CN"/>
        </w:rPr>
      </w:pPr>
      <w:r>
        <w:rPr>
          <w:rFonts w:hint="eastAsia" w:cs="Times New Roman"/>
          <w:color w:val="auto"/>
          <w:sz w:val="32"/>
          <w:szCs w:val="32"/>
          <w:highlight w:val="none"/>
          <w:lang w:val="en-US" w:eastAsia="zh-CN"/>
        </w:rPr>
        <w:t>电力</w:t>
      </w:r>
      <w:r>
        <w:rPr>
          <w:rFonts w:hint="eastAsia" w:ascii="Times New Roman" w:hAnsi="Times New Roman" w:cs="Times New Roman"/>
          <w:color w:val="auto"/>
          <w:sz w:val="32"/>
          <w:szCs w:val="32"/>
          <w:highlight w:val="none"/>
          <w:lang w:val="en-US" w:eastAsia="zh-CN"/>
        </w:rPr>
        <w:t>需求响应交易</w:t>
      </w:r>
    </w:p>
    <w:p w14:paraId="671FDC69">
      <w:pPr>
        <w:widowControl/>
        <w:spacing w:line="600" w:lineRule="exact"/>
        <w:ind w:firstLine="640" w:firstLineChars="200"/>
        <w:rPr>
          <w:rFonts w:hint="eastAsia" w:ascii="仿宋_GB2312" w:hAnsi="仿宋_GB2312" w:cs="仿宋_GB2312"/>
          <w:b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cs="仿宋_GB2312"/>
          <w:b w:val="0"/>
          <w:color w:val="000000" w:themeColor="text1"/>
          <w:kern w:val="2"/>
          <w:sz w:val="32"/>
          <w:szCs w:val="32"/>
          <w:highlight w:val="none"/>
          <w:lang w:val="en-US" w:eastAsia="zh-CN" w:bidi="ar-SA"/>
          <w14:textFill>
            <w14:solidFill>
              <w14:schemeClr w14:val="tx1"/>
            </w14:solidFill>
          </w14:textFill>
        </w:rPr>
        <w:t>按照贵州省能源局关于印发《贵州省电力需求响应交易方案》的通知（黔能源运行</w:t>
      </w:r>
      <w:r>
        <w:rPr>
          <w:rFonts w:hint="default" w:ascii="Times New Roman" w:hAnsi="Times New Roman" w:eastAsia="仿宋_GB2312" w:cs="Times New Roman"/>
          <w:color w:val="auto"/>
          <w:sz w:val="32"/>
          <w:szCs w:val="32"/>
          <w:highlight w:val="none"/>
          <w:lang w:eastAsia="zh-CN"/>
        </w:rPr>
        <w:t>〔20</w:t>
      </w:r>
      <w:r>
        <w:rPr>
          <w:rFonts w:hint="eastAsia"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lang w:eastAsia="zh-CN"/>
        </w:rPr>
        <w:t>〕</w:t>
      </w:r>
      <w:r>
        <w:rPr>
          <w:rFonts w:hint="eastAsia" w:cs="Times New Roman"/>
          <w:color w:val="auto"/>
          <w:sz w:val="32"/>
          <w:szCs w:val="32"/>
          <w:highlight w:val="none"/>
          <w:lang w:val="en-US" w:eastAsia="zh-CN"/>
        </w:rPr>
        <w:t>33</w:t>
      </w:r>
      <w:r>
        <w:rPr>
          <w:rFonts w:hint="default" w:ascii="Times New Roman" w:hAnsi="Times New Roman" w:eastAsia="仿宋_GB2312" w:cs="Times New Roman"/>
          <w:color w:val="auto"/>
          <w:sz w:val="32"/>
          <w:szCs w:val="32"/>
          <w:highlight w:val="none"/>
          <w:lang w:eastAsia="zh-CN"/>
        </w:rPr>
        <w:t>号</w:t>
      </w:r>
      <w:r>
        <w:rPr>
          <w:rFonts w:hint="eastAsia" w:ascii="仿宋_GB2312" w:hAnsi="仿宋_GB2312" w:cs="仿宋_GB2312"/>
          <w:b w:val="0"/>
          <w:color w:val="000000" w:themeColor="text1"/>
          <w:kern w:val="2"/>
          <w:sz w:val="32"/>
          <w:szCs w:val="32"/>
          <w:highlight w:val="none"/>
          <w:lang w:val="en-US" w:eastAsia="zh-CN" w:bidi="ar-SA"/>
          <w14:textFill>
            <w14:solidFill>
              <w14:schemeClr w14:val="tx1"/>
            </w14:solidFill>
          </w14:textFill>
        </w:rPr>
        <w:t>）要求实施。</w:t>
      </w:r>
    </w:p>
    <w:p w14:paraId="493548E6">
      <w:pPr>
        <w:ind w:firstLine="640"/>
        <w:rPr>
          <w:rFonts w:hint="eastAsia" w:ascii="Times New Roman" w:hAnsi="Times New Roman" w:eastAsia="楷体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u w:val="none"/>
          <w:lang w:eastAsia="zh-CN"/>
          <w14:textFill>
            <w14:solidFill>
              <w14:schemeClr w14:val="tx1"/>
            </w14:solidFill>
          </w14:textFill>
        </w:rPr>
        <w:t>（二）交易组织方式</w:t>
      </w:r>
    </w:p>
    <w:p w14:paraId="6E47A40B">
      <w:pPr>
        <w:spacing w:line="600" w:lineRule="exact"/>
        <w:ind w:firstLine="640" w:firstLineChars="200"/>
        <w:rPr>
          <w:rFonts w:hint="eastAsia" w:cs="Times New Roman"/>
          <w:color w:val="auto"/>
          <w:spacing w:val="0"/>
          <w:w w:val="100"/>
          <w:sz w:val="32"/>
          <w:szCs w:val="32"/>
          <w:highlight w:val="none"/>
          <w:lang w:val="en-US" w:eastAsia="zh-CN"/>
        </w:rPr>
      </w:pPr>
      <w:r>
        <w:rPr>
          <w:rFonts w:hint="eastAsia"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eastAsia="zh-CN"/>
        </w:rPr>
        <w:t>中长期</w:t>
      </w:r>
      <w:r>
        <w:rPr>
          <w:rFonts w:hint="eastAsia" w:ascii="Times New Roman" w:hAnsi="Times New Roman" w:eastAsia="仿宋_GB2312" w:cs="Times New Roman"/>
          <w:color w:val="auto"/>
          <w:sz w:val="32"/>
          <w:szCs w:val="32"/>
          <w:highlight w:val="none"/>
          <w:lang w:eastAsia="zh-CN"/>
        </w:rPr>
        <w:t>批发</w:t>
      </w:r>
      <w:r>
        <w:rPr>
          <w:rFonts w:hint="eastAsia" w:ascii="Times New Roman" w:hAnsi="Times New Roman" w:eastAsia="仿宋_GB2312" w:cs="Times New Roman"/>
          <w:color w:val="auto"/>
          <w:sz w:val="32"/>
          <w:szCs w:val="32"/>
          <w:highlight w:val="none"/>
          <w:lang w:val="en-US" w:eastAsia="zh-CN"/>
        </w:rPr>
        <w:t>市场采用</w:t>
      </w:r>
      <w:r>
        <w:rPr>
          <w:rFonts w:hint="default" w:ascii="Times New Roman" w:hAnsi="Times New Roman" w:eastAsia="仿宋_GB2312" w:cs="Times New Roman"/>
          <w:color w:val="auto"/>
          <w:sz w:val="32"/>
          <w:szCs w:val="32"/>
          <w:highlight w:val="none"/>
        </w:rPr>
        <w:t>双边协商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集中</w:t>
      </w:r>
      <w:r>
        <w:rPr>
          <w:rFonts w:hint="eastAsia" w:ascii="Times New Roman" w:hAnsi="Times New Roman" w:eastAsia="仿宋_GB2312" w:cs="Times New Roman"/>
          <w:color w:val="auto"/>
          <w:sz w:val="32"/>
          <w:szCs w:val="32"/>
          <w:highlight w:val="none"/>
          <w:lang w:val="en-US" w:eastAsia="zh-CN"/>
        </w:rPr>
        <w:t>交易（</w:t>
      </w:r>
      <w:r>
        <w:rPr>
          <w:rFonts w:hint="default" w:ascii="Times New Roman" w:hAnsi="Times New Roman" w:eastAsia="仿宋_GB2312" w:cs="Times New Roman"/>
          <w:color w:val="auto"/>
          <w:sz w:val="32"/>
          <w:szCs w:val="32"/>
          <w:highlight w:val="none"/>
          <w:lang w:val="en-US" w:eastAsia="zh-CN"/>
        </w:rPr>
        <w:t>竞价</w:t>
      </w:r>
      <w:r>
        <w:rPr>
          <w:rFonts w:hint="eastAsia" w:ascii="Times New Roman" w:hAnsi="Times New Roman" w:eastAsia="仿宋_GB2312" w:cs="Times New Roman"/>
          <w:color w:val="auto"/>
          <w:sz w:val="32"/>
          <w:szCs w:val="32"/>
          <w:highlight w:val="none"/>
          <w:lang w:val="en-US" w:eastAsia="zh-CN"/>
        </w:rPr>
        <w:t>、滚动撮合、</w:t>
      </w:r>
      <w:r>
        <w:rPr>
          <w:rFonts w:hint="default" w:ascii="Times New Roman" w:hAnsi="Times New Roman" w:eastAsia="仿宋_GB2312" w:cs="Times New Roman"/>
          <w:color w:val="auto"/>
          <w:sz w:val="32"/>
          <w:szCs w:val="32"/>
          <w:highlight w:val="none"/>
        </w:rPr>
        <w:t>挂牌</w:t>
      </w:r>
      <w:r>
        <w:rPr>
          <w:rFonts w:hint="eastAsia" w:ascii="Times New Roman" w:hAnsi="Times New Roman" w:eastAsia="仿宋_GB2312" w:cs="Times New Roman"/>
          <w:color w:val="auto"/>
          <w:sz w:val="32"/>
          <w:szCs w:val="32"/>
          <w:highlight w:val="none"/>
          <w:lang w:eastAsia="zh-CN"/>
        </w:rPr>
        <w:t>）等交易方式</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交易周期</w:t>
      </w:r>
      <w:r>
        <w:rPr>
          <w:rFonts w:hint="default" w:ascii="Times New Roman" w:hAnsi="Times New Roman" w:eastAsia="仿宋_GB2312" w:cs="Times New Roman"/>
          <w:color w:val="auto"/>
          <w:sz w:val="32"/>
          <w:szCs w:val="32"/>
          <w:highlight w:val="none"/>
        </w:rPr>
        <w:t>主要包括</w:t>
      </w:r>
      <w:r>
        <w:rPr>
          <w:rFonts w:hint="default" w:ascii="Times New Roman" w:hAnsi="Times New Roman" w:eastAsia="仿宋_GB2312" w:cs="Times New Roman"/>
          <w:color w:val="auto"/>
          <w:sz w:val="32"/>
          <w:szCs w:val="32"/>
          <w:highlight w:val="none"/>
          <w:lang w:eastAsia="zh-CN"/>
        </w:rPr>
        <w:t>多年、</w:t>
      </w:r>
      <w:r>
        <w:rPr>
          <w:rFonts w:hint="default" w:ascii="Times New Roman" w:hAnsi="Times New Roman" w:eastAsia="仿宋_GB2312" w:cs="Times New Roman"/>
          <w:color w:val="auto"/>
          <w:sz w:val="32"/>
          <w:szCs w:val="32"/>
          <w:highlight w:val="none"/>
        </w:rPr>
        <w:t>年、多月、月</w:t>
      </w:r>
      <w:r>
        <w:rPr>
          <w:rFonts w:hint="default" w:ascii="Times New Roman" w:hAnsi="Times New Roman" w:eastAsia="仿宋_GB2312" w:cs="Times New Roman"/>
          <w:color w:val="auto"/>
          <w:sz w:val="32"/>
          <w:szCs w:val="32"/>
          <w:highlight w:val="none"/>
          <w:lang w:eastAsia="zh-CN"/>
        </w:rPr>
        <w:t>、</w:t>
      </w:r>
      <w:r>
        <w:rPr>
          <w:rFonts w:hint="eastAsia" w:cs="Times New Roman"/>
          <w:color w:val="auto"/>
          <w:sz w:val="32"/>
          <w:szCs w:val="32"/>
          <w:highlight w:val="none"/>
          <w:lang w:val="en-US" w:eastAsia="zh-CN"/>
        </w:rPr>
        <w:t>多日</w:t>
      </w:r>
      <w:r>
        <w:rPr>
          <w:rFonts w:hint="default" w:ascii="Times New Roman" w:hAnsi="Times New Roman" w:eastAsia="仿宋_GB2312" w:cs="Times New Roman"/>
          <w:color w:val="auto"/>
          <w:sz w:val="32"/>
          <w:szCs w:val="32"/>
          <w:highlight w:val="none"/>
        </w:rPr>
        <w:t>等。</w:t>
      </w:r>
      <w:r>
        <w:rPr>
          <w:rFonts w:hint="eastAsia" w:cs="Times New Roman"/>
          <w:color w:val="auto"/>
          <w:sz w:val="32"/>
          <w:szCs w:val="32"/>
          <w:highlight w:val="none"/>
          <w:lang w:val="en-US" w:eastAsia="zh-CN"/>
        </w:rPr>
        <w:t>其中</w:t>
      </w:r>
      <w:r>
        <w:rPr>
          <w:rFonts w:hint="default" w:ascii="Times New Roman" w:hAnsi="Times New Roman" w:eastAsia="仿宋_GB2312" w:cs="Times New Roman"/>
          <w:color w:val="auto"/>
          <w:spacing w:val="0"/>
          <w:w w:val="100"/>
          <w:sz w:val="32"/>
          <w:szCs w:val="32"/>
          <w:highlight w:val="none"/>
          <w:lang w:eastAsia="zh-CN"/>
        </w:rPr>
        <w:t>双边协商</w:t>
      </w:r>
      <w:r>
        <w:rPr>
          <w:rFonts w:hint="eastAsia" w:cs="Times New Roman"/>
          <w:color w:val="auto"/>
          <w:spacing w:val="0"/>
          <w:w w:val="100"/>
          <w:sz w:val="32"/>
          <w:szCs w:val="32"/>
          <w:highlight w:val="none"/>
          <w:lang w:val="en-US" w:eastAsia="zh-CN"/>
        </w:rPr>
        <w:t>交易按照</w:t>
      </w:r>
      <w:r>
        <w:rPr>
          <w:rFonts w:hint="default" w:ascii="Times New Roman" w:hAnsi="Times New Roman" w:eastAsia="仿宋_GB2312" w:cs="Times New Roman"/>
          <w:color w:val="auto"/>
          <w:spacing w:val="0"/>
          <w:w w:val="100"/>
          <w:sz w:val="32"/>
          <w:szCs w:val="32"/>
          <w:highlight w:val="none"/>
          <w:lang w:eastAsia="zh-CN"/>
        </w:rPr>
        <w:t>年度、</w:t>
      </w:r>
      <w:r>
        <w:rPr>
          <w:rFonts w:hint="default" w:ascii="Times New Roman" w:hAnsi="Times New Roman" w:cs="Times New Roman"/>
          <w:color w:val="auto"/>
          <w:spacing w:val="0"/>
          <w:w w:val="100"/>
          <w:sz w:val="32"/>
          <w:szCs w:val="32"/>
          <w:highlight w:val="none"/>
          <w:lang w:val="en-US" w:eastAsia="zh-CN"/>
        </w:rPr>
        <w:t>多月、</w:t>
      </w:r>
      <w:r>
        <w:rPr>
          <w:rFonts w:hint="default" w:ascii="Times New Roman" w:hAnsi="Times New Roman" w:eastAsia="仿宋_GB2312" w:cs="Times New Roman"/>
          <w:color w:val="auto"/>
          <w:spacing w:val="0"/>
          <w:w w:val="100"/>
          <w:sz w:val="32"/>
          <w:szCs w:val="32"/>
          <w:highlight w:val="none"/>
          <w:lang w:eastAsia="zh-CN"/>
        </w:rPr>
        <w:t>月度</w:t>
      </w:r>
      <w:r>
        <w:rPr>
          <w:rFonts w:hint="eastAsia" w:ascii="Times New Roman" w:hAnsi="Times New Roman" w:cs="Times New Roman"/>
          <w:color w:val="auto"/>
          <w:spacing w:val="0"/>
          <w:w w:val="100"/>
          <w:sz w:val="32"/>
          <w:szCs w:val="32"/>
          <w:highlight w:val="none"/>
          <w:lang w:eastAsia="zh-CN"/>
        </w:rPr>
        <w:t>开展，</w:t>
      </w:r>
      <w:r>
        <w:rPr>
          <w:rFonts w:hint="eastAsia" w:cs="Times New Roman"/>
          <w:color w:val="auto"/>
          <w:spacing w:val="0"/>
          <w:w w:val="100"/>
          <w:sz w:val="32"/>
          <w:szCs w:val="32"/>
          <w:highlight w:val="none"/>
          <w:lang w:val="en-US" w:eastAsia="zh-CN"/>
        </w:rPr>
        <w:t>挂牌</w:t>
      </w:r>
      <w:r>
        <w:rPr>
          <w:rFonts w:hint="default" w:ascii="Times New Roman" w:hAnsi="Times New Roman" w:eastAsia="仿宋_GB2312" w:cs="Times New Roman"/>
          <w:color w:val="auto"/>
          <w:spacing w:val="0"/>
          <w:w w:val="100"/>
          <w:sz w:val="32"/>
          <w:szCs w:val="32"/>
          <w:highlight w:val="none"/>
          <w:lang w:eastAsia="zh-CN"/>
        </w:rPr>
        <w:t>交易</w:t>
      </w:r>
      <w:r>
        <w:rPr>
          <w:rFonts w:hint="eastAsia" w:cs="Times New Roman"/>
          <w:color w:val="auto"/>
          <w:spacing w:val="0"/>
          <w:w w:val="100"/>
          <w:sz w:val="32"/>
          <w:szCs w:val="32"/>
          <w:highlight w:val="none"/>
          <w:lang w:val="en-US" w:eastAsia="zh-CN"/>
        </w:rPr>
        <w:t>按照</w:t>
      </w:r>
      <w:r>
        <w:rPr>
          <w:rFonts w:hint="default" w:ascii="Times New Roman" w:hAnsi="Times New Roman" w:eastAsia="仿宋_GB2312" w:cs="Times New Roman"/>
          <w:color w:val="auto"/>
          <w:spacing w:val="0"/>
          <w:w w:val="100"/>
          <w:sz w:val="32"/>
          <w:szCs w:val="32"/>
          <w:highlight w:val="none"/>
          <w:lang w:eastAsia="zh-CN"/>
        </w:rPr>
        <w:t>年度、</w:t>
      </w:r>
      <w:r>
        <w:rPr>
          <w:rFonts w:hint="default" w:ascii="Times New Roman" w:hAnsi="Times New Roman" w:cs="Times New Roman"/>
          <w:color w:val="auto"/>
          <w:spacing w:val="0"/>
          <w:w w:val="100"/>
          <w:sz w:val="32"/>
          <w:szCs w:val="32"/>
          <w:highlight w:val="none"/>
          <w:lang w:val="en-US" w:eastAsia="zh-CN"/>
        </w:rPr>
        <w:t>多月、</w:t>
      </w:r>
      <w:r>
        <w:rPr>
          <w:rFonts w:hint="default" w:ascii="Times New Roman" w:hAnsi="Times New Roman" w:eastAsia="仿宋_GB2312" w:cs="Times New Roman"/>
          <w:color w:val="auto"/>
          <w:spacing w:val="0"/>
          <w:w w:val="100"/>
          <w:sz w:val="32"/>
          <w:szCs w:val="32"/>
          <w:highlight w:val="none"/>
          <w:lang w:eastAsia="zh-CN"/>
        </w:rPr>
        <w:t>月度</w:t>
      </w:r>
      <w:r>
        <w:rPr>
          <w:rFonts w:hint="eastAsia" w:cs="Times New Roman"/>
          <w:color w:val="auto"/>
          <w:spacing w:val="0"/>
          <w:w w:val="100"/>
          <w:sz w:val="32"/>
          <w:szCs w:val="32"/>
          <w:highlight w:val="none"/>
          <w:lang w:val="en-US" w:eastAsia="zh-CN"/>
        </w:rPr>
        <w:t>和多日开展，集中竞价交易按照多月、月度和多日开展。</w:t>
      </w:r>
    </w:p>
    <w:p w14:paraId="2DA55814">
      <w:pPr>
        <w:spacing w:line="600" w:lineRule="exact"/>
        <w:ind w:firstLine="640" w:firstLineChars="200"/>
        <w:rPr>
          <w:rFonts w:hint="eastAsia" w:ascii="Times New Roman" w:hAnsi="Times New Roman" w:eastAsia="仿宋_GB2312" w:cs="Times New Roman"/>
          <w:color w:val="auto"/>
          <w:spacing w:val="0"/>
          <w:w w:val="100"/>
          <w:sz w:val="32"/>
          <w:szCs w:val="32"/>
          <w:highlight w:val="none"/>
          <w:lang w:val="en-US" w:eastAsia="zh-CN"/>
        </w:rPr>
      </w:pPr>
      <w:r>
        <w:rPr>
          <w:rFonts w:hint="eastAsia" w:ascii="Times New Roman" w:hAnsi="Times New Roman" w:eastAsia="仿宋_GB2312" w:cs="Times New Roman"/>
          <w:color w:val="auto"/>
          <w:spacing w:val="0"/>
          <w:w w:val="100"/>
          <w:sz w:val="32"/>
          <w:szCs w:val="32"/>
          <w:highlight w:val="none"/>
          <w:lang w:val="en-US" w:eastAsia="zh-CN"/>
        </w:rPr>
        <w:t>年度交易以次年年度内的电量作为交易标的物</w:t>
      </w:r>
      <w:r>
        <w:rPr>
          <w:rFonts w:hint="eastAsia" w:cs="Times New Roman"/>
          <w:color w:val="auto"/>
          <w:spacing w:val="0"/>
          <w:w w:val="100"/>
          <w:sz w:val="32"/>
          <w:szCs w:val="32"/>
          <w:highlight w:val="none"/>
          <w:lang w:val="en-US" w:eastAsia="zh-CN"/>
        </w:rPr>
        <w:t>（允许交易年内多月电量），月度交易</w:t>
      </w:r>
      <w:r>
        <w:rPr>
          <w:rFonts w:hint="eastAsia" w:ascii="Times New Roman" w:hAnsi="Times New Roman" w:eastAsia="仿宋_GB2312" w:cs="Times New Roman"/>
          <w:color w:val="auto"/>
          <w:spacing w:val="0"/>
          <w:w w:val="100"/>
          <w:sz w:val="32"/>
          <w:szCs w:val="32"/>
          <w:highlight w:val="none"/>
          <w:lang w:val="en-US" w:eastAsia="zh-CN"/>
        </w:rPr>
        <w:t>以次月、次月至当年年底内（含特定月份）的电量作为交易标的物、月内交易以D+2日至月底的电量作为交易标的物。</w:t>
      </w:r>
    </w:p>
    <w:p w14:paraId="69B343CA">
      <w:pPr>
        <w:widowControl/>
        <w:spacing w:line="600" w:lineRule="exact"/>
        <w:ind w:firstLine="640" w:firstLineChars="200"/>
        <w:jc w:val="left"/>
        <w:rPr>
          <w:rFonts w:hint="eastAsia" w:ascii="Times New Roman" w:hAnsi="Times New Roman" w:cs="Times New Roman"/>
          <w:highlight w:val="none"/>
          <w:lang w:val="en-US" w:eastAsia="zh-CN"/>
        </w:rPr>
      </w:pPr>
      <w:r>
        <w:rPr>
          <w:rFonts w:hint="eastAsia" w:ascii="Times New Roman" w:hAnsi="Times New Roman" w:eastAsia="楷体_GB2312" w:cs="Times New Roman"/>
          <w:color w:val="000000" w:themeColor="text1"/>
          <w:sz w:val="32"/>
          <w:szCs w:val="32"/>
          <w:highlight w:val="none"/>
          <w:u w:val="none"/>
          <w:lang w:val="en-US" w:eastAsia="zh-CN"/>
          <w14:textFill>
            <w14:solidFill>
              <w14:schemeClr w14:val="tx1"/>
            </w14:solidFill>
          </w14:textFill>
        </w:rPr>
        <w:t>2.</w:t>
      </w:r>
      <w:r>
        <w:rPr>
          <w:rFonts w:hint="eastAsia" w:ascii="Times New Roman" w:hAnsi="Times New Roman" w:cs="Times New Roman"/>
          <w:highlight w:val="none"/>
          <w:lang w:val="en-US" w:eastAsia="zh-CN"/>
        </w:rPr>
        <w:t>年度交易时，可开展汛期电网企业代理非市场机组挂牌交易，交易购售双方为市场化机组和电网企业（代理非市场机组）。电网企业需在交易开始前2个工作日内，披露非市场机组代发电量预测信息。</w:t>
      </w:r>
    </w:p>
    <w:p w14:paraId="71B0D92F">
      <w:pPr>
        <w:widowControl/>
        <w:spacing w:line="600" w:lineRule="exact"/>
        <w:ind w:firstLine="640" w:firstLineChars="20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在年度电网代理购电挂牌交易中，电网企业在汛期月份挂牌负电量（非市场机组代发电量），由市场化机组摘牌，挂牌价格为年度电网代理购电价格。</w:t>
      </w:r>
    </w:p>
    <w:p w14:paraId="461FA6BC">
      <w:pPr>
        <w:widowControl/>
        <w:spacing w:line="600" w:lineRule="exact"/>
        <w:ind w:firstLine="640" w:firstLineChars="20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电网企业预测次月非市场机组代发电量不足，可通过月度挂牌方式开展增量交易，电网企业挂牌次月负电量，市场化机组摘牌，挂牌价格为批发侧市场化直接交易签约加权均价，以</w:t>
      </w:r>
      <w:r>
        <w:rPr>
          <w:rFonts w:hint="eastAsia" w:cs="Times New Roman"/>
          <w:highlight w:val="none"/>
          <w:lang w:val="en-US" w:eastAsia="zh-CN"/>
        </w:rPr>
        <w:t>燃煤</w:t>
      </w:r>
      <w:r>
        <w:rPr>
          <w:rFonts w:hint="eastAsia" w:ascii="Times New Roman" w:hAnsi="Times New Roman" w:cs="Times New Roman"/>
          <w:highlight w:val="none"/>
          <w:lang w:val="en-US" w:eastAsia="zh-CN"/>
        </w:rPr>
        <w:t>市场化机组</w:t>
      </w:r>
      <w:bookmarkStart w:id="0" w:name="_GoBack"/>
      <w:bookmarkEnd w:id="0"/>
      <w:r>
        <w:rPr>
          <w:rFonts w:hint="eastAsia" w:ascii="Times New Roman" w:hAnsi="Times New Roman" w:cs="Times New Roman"/>
          <w:highlight w:val="none"/>
          <w:lang w:val="en-US" w:eastAsia="zh-CN"/>
        </w:rPr>
        <w:t>签订的中长期交易合同计算。电网企业预测次月非市场机组代发电量过多，可通过月度挂牌方式开展减量交易，电网企业挂牌次月正电量，市场化机组摘牌，批发侧市场化直接交易签约加权均价，以</w:t>
      </w:r>
      <w:r>
        <w:rPr>
          <w:rFonts w:hint="eastAsia" w:cs="Times New Roman"/>
          <w:highlight w:val="none"/>
          <w:lang w:val="en-US" w:eastAsia="zh-CN"/>
        </w:rPr>
        <w:t>燃煤市场化</w:t>
      </w:r>
      <w:r>
        <w:rPr>
          <w:rFonts w:hint="eastAsia" w:ascii="Times New Roman" w:hAnsi="Times New Roman" w:cs="Times New Roman"/>
          <w:highlight w:val="none"/>
          <w:lang w:val="en-US" w:eastAsia="zh-CN"/>
        </w:rPr>
        <w:t>机组签订的中长期交易合同计算。</w:t>
      </w:r>
    </w:p>
    <w:p w14:paraId="34186315">
      <w:pPr>
        <w:widowControl/>
        <w:spacing w:line="600" w:lineRule="exact"/>
        <w:ind w:firstLine="640" w:firstLineChars="200"/>
        <w:jc w:val="left"/>
        <w:rPr>
          <w:rFonts w:hint="default" w:ascii="Times New Roman" w:hAnsi="Times New Roman" w:eastAsia="楷体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cs="Times New Roman"/>
          <w:highlight w:val="none"/>
          <w:lang w:val="en-US" w:eastAsia="zh-CN"/>
        </w:rPr>
        <w:t>电网企业代理非市场机组</w:t>
      </w:r>
      <w:r>
        <w:rPr>
          <w:rFonts w:hint="eastAsia" w:cs="Times New Roman"/>
          <w:highlight w:val="none"/>
          <w:lang w:val="en-US" w:eastAsia="zh-CN"/>
        </w:rPr>
        <w:t>的</w:t>
      </w:r>
      <w:r>
        <w:rPr>
          <w:rFonts w:hint="eastAsia" w:ascii="Times New Roman" w:hAnsi="Times New Roman" w:cs="Times New Roman"/>
          <w:highlight w:val="none"/>
          <w:lang w:val="en-US" w:eastAsia="zh-CN"/>
        </w:rPr>
        <w:t>日前</w:t>
      </w:r>
      <w:r>
        <w:rPr>
          <w:rFonts w:hint="eastAsia" w:cs="Times New Roman"/>
          <w:highlight w:val="none"/>
          <w:lang w:val="en-US" w:eastAsia="zh-CN"/>
        </w:rPr>
        <w:t>出清电量按其中长期合约电量处理</w:t>
      </w:r>
      <w:r>
        <w:rPr>
          <w:rFonts w:hint="eastAsia" w:ascii="Times New Roman" w:hAnsi="Times New Roman" w:cs="Times New Roman"/>
          <w:highlight w:val="none"/>
          <w:lang w:val="en-US" w:eastAsia="zh-CN"/>
        </w:rPr>
        <w:t>。</w:t>
      </w:r>
    </w:p>
    <w:p w14:paraId="77C78491">
      <w:pPr>
        <w:ind w:firstLine="640"/>
        <w:rPr>
          <w:rFonts w:hint="eastAsia" w:ascii="Times New Roman" w:hAnsi="Times New Roman" w:eastAsia="楷体_GB2312"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u w:val="none"/>
          <w:lang w:val="en-US" w:eastAsia="zh-CN"/>
          <w14:textFill>
            <w14:solidFill>
              <w14:schemeClr w14:val="tx1"/>
            </w14:solidFill>
          </w14:textFill>
        </w:rPr>
        <w:t>（三）交易时间</w:t>
      </w:r>
    </w:p>
    <w:p w14:paraId="580D9F0A">
      <w:pPr>
        <w:spacing w:line="600" w:lineRule="exact"/>
        <w:ind w:firstLine="640" w:firstLineChars="200"/>
        <w:rPr>
          <w:rFonts w:hint="default" w:ascii="Times New Roman" w:hAnsi="Times New Roman" w:eastAsia="仿宋_GB2312" w:cs="Times New Roman"/>
          <w:color w:val="auto"/>
          <w:spacing w:val="0"/>
          <w:w w:val="100"/>
          <w:sz w:val="32"/>
          <w:szCs w:val="32"/>
          <w:highlight w:val="none"/>
          <w:lang w:val="en-US" w:eastAsia="zh-CN"/>
        </w:rPr>
      </w:pPr>
      <w:r>
        <w:rPr>
          <w:rFonts w:hint="eastAsia" w:ascii="Times New Roman" w:hAnsi="Times New Roman" w:eastAsia="仿宋_GB2312" w:cs="Times New Roman"/>
          <w:color w:val="auto"/>
          <w:spacing w:val="0"/>
          <w:w w:val="100"/>
          <w:sz w:val="32"/>
          <w:szCs w:val="32"/>
          <w:highlight w:val="none"/>
          <w:lang w:val="en-US" w:eastAsia="zh-CN"/>
        </w:rPr>
        <w:t>年度交易须在本年12月26日前完成，具体</w:t>
      </w:r>
      <w:r>
        <w:rPr>
          <w:rFonts w:hint="default" w:ascii="Times New Roman" w:hAnsi="Times New Roman" w:eastAsia="仿宋_GB2312" w:cs="Times New Roman"/>
          <w:color w:val="auto"/>
          <w:spacing w:val="0"/>
          <w:w w:val="100"/>
          <w:sz w:val="32"/>
          <w:szCs w:val="32"/>
          <w:highlight w:val="none"/>
          <w:lang w:val="en-US" w:eastAsia="zh-CN"/>
        </w:rPr>
        <w:t>交易安排</w:t>
      </w:r>
      <w:r>
        <w:rPr>
          <w:rFonts w:hint="default" w:ascii="Times New Roman" w:hAnsi="Times New Roman" w:eastAsia="仿宋_GB2312" w:cs="Times New Roman"/>
          <w:color w:val="auto"/>
          <w:spacing w:val="0"/>
          <w:w w:val="100"/>
          <w:sz w:val="32"/>
          <w:szCs w:val="32"/>
          <w:highlight w:val="none"/>
          <w:lang w:eastAsia="zh-CN"/>
        </w:rPr>
        <w:t>以交易中心</w:t>
      </w:r>
      <w:r>
        <w:rPr>
          <w:rFonts w:hint="default" w:ascii="Times New Roman" w:hAnsi="Times New Roman" w:eastAsia="仿宋_GB2312" w:cs="Times New Roman"/>
          <w:color w:val="auto"/>
          <w:spacing w:val="0"/>
          <w:w w:val="100"/>
          <w:sz w:val="32"/>
          <w:szCs w:val="32"/>
          <w:highlight w:val="none"/>
          <w:lang w:val="en-US" w:eastAsia="zh-CN"/>
        </w:rPr>
        <w:t>发布的</w:t>
      </w:r>
      <w:r>
        <w:rPr>
          <w:rFonts w:hint="eastAsia" w:ascii="Times New Roman" w:hAnsi="Times New Roman" w:eastAsia="仿宋_GB2312" w:cs="Times New Roman"/>
          <w:color w:val="auto"/>
          <w:spacing w:val="0"/>
          <w:w w:val="100"/>
          <w:sz w:val="32"/>
          <w:szCs w:val="32"/>
          <w:highlight w:val="none"/>
          <w:lang w:val="en-US" w:eastAsia="zh-CN"/>
        </w:rPr>
        <w:t>年度、月度及月内</w:t>
      </w:r>
      <w:r>
        <w:rPr>
          <w:rFonts w:hint="default" w:ascii="Times New Roman" w:hAnsi="Times New Roman" w:eastAsia="仿宋_GB2312" w:cs="Times New Roman"/>
          <w:color w:val="auto"/>
          <w:spacing w:val="0"/>
          <w:w w:val="100"/>
          <w:sz w:val="32"/>
          <w:szCs w:val="32"/>
          <w:highlight w:val="none"/>
          <w:lang w:val="en-US" w:eastAsia="zh-CN"/>
        </w:rPr>
        <w:t>交易</w:t>
      </w:r>
      <w:r>
        <w:rPr>
          <w:rFonts w:hint="default" w:ascii="Times New Roman" w:hAnsi="Times New Roman" w:eastAsia="仿宋_GB2312" w:cs="Times New Roman"/>
          <w:color w:val="auto"/>
          <w:spacing w:val="0"/>
          <w:w w:val="100"/>
          <w:sz w:val="32"/>
          <w:szCs w:val="32"/>
          <w:highlight w:val="none"/>
          <w:lang w:eastAsia="zh-CN"/>
        </w:rPr>
        <w:t>公告为准</w:t>
      </w:r>
      <w:r>
        <w:rPr>
          <w:rFonts w:hint="eastAsia" w:ascii="Times New Roman" w:hAnsi="Times New Roman" w:eastAsia="仿宋_GB2312" w:cs="Times New Roman"/>
          <w:color w:val="auto"/>
          <w:spacing w:val="0"/>
          <w:w w:val="100"/>
          <w:sz w:val="32"/>
          <w:szCs w:val="32"/>
          <w:highlight w:val="none"/>
          <w:lang w:val="en-US" w:eastAsia="zh-CN"/>
        </w:rPr>
        <w:t>。</w:t>
      </w:r>
    </w:p>
    <w:p w14:paraId="3FBC5C00">
      <w:pPr>
        <w:spacing w:line="600" w:lineRule="exact"/>
        <w:ind w:firstLine="640" w:firstLineChars="200"/>
        <w:outlineLvl w:val="0"/>
        <w:rPr>
          <w:rFonts w:eastAsia="黑体"/>
          <w:highlight w:val="none"/>
        </w:rPr>
      </w:pPr>
      <w:r>
        <w:rPr>
          <w:rFonts w:eastAsia="黑体"/>
          <w:highlight w:val="none"/>
        </w:rPr>
        <w:t>四、交易合同签订</w:t>
      </w:r>
    </w:p>
    <w:p w14:paraId="7CB7E244">
      <w:pPr>
        <w:spacing w:line="600" w:lineRule="exact"/>
        <w:ind w:firstLine="640" w:firstLineChars="200"/>
        <w:rPr>
          <w:rFonts w:hint="eastAsia" w:eastAsia="仿宋_GB2312"/>
          <w:highlight w:val="none"/>
          <w:lang w:eastAsia="zh-CN"/>
        </w:rPr>
      </w:pPr>
      <w:r>
        <w:rPr>
          <w:rFonts w:hint="eastAsia" w:ascii="Times New Roman" w:hAnsi="Times New Roman" w:eastAsia="楷体_GB2312" w:cs="Times New Roman"/>
          <w:color w:val="000000" w:themeColor="text1"/>
          <w:sz w:val="32"/>
          <w:szCs w:val="32"/>
          <w:highlight w:val="none"/>
          <w:u w:val="none"/>
          <w:lang w:eastAsia="zh-CN"/>
          <w14:textFill>
            <w14:solidFill>
              <w14:schemeClr w14:val="tx1"/>
            </w14:solidFill>
          </w14:textFill>
        </w:rPr>
        <w:t>（一）批发合同签订</w:t>
      </w:r>
    </w:p>
    <w:p w14:paraId="75DE79B5">
      <w:pPr>
        <w:spacing w:line="600" w:lineRule="exact"/>
        <w:ind w:firstLine="640" w:firstLineChars="200"/>
        <w:rPr>
          <w:highlight w:val="none"/>
        </w:rPr>
      </w:pPr>
      <w:r>
        <w:rPr>
          <w:rFonts w:hint="eastAsia"/>
          <w:highlight w:val="none"/>
          <w:lang w:val="en-US" w:eastAsia="zh-CN"/>
        </w:rPr>
        <w:t xml:space="preserve">1. </w:t>
      </w:r>
      <w:r>
        <w:rPr>
          <w:highlight w:val="none"/>
        </w:rPr>
        <w:t>202</w:t>
      </w:r>
      <w:r>
        <w:rPr>
          <w:rFonts w:hint="eastAsia"/>
          <w:highlight w:val="none"/>
          <w:lang w:val="en-US" w:eastAsia="zh-CN"/>
        </w:rPr>
        <w:t>6</w:t>
      </w:r>
      <w:r>
        <w:rPr>
          <w:highlight w:val="none"/>
        </w:rPr>
        <w:t>年贵州省电力中长期合同签约履约在贵州电力交易平台进行，经营主体按照规范合同范本线上签订合同。</w:t>
      </w:r>
    </w:p>
    <w:p w14:paraId="5D225D31">
      <w:pPr>
        <w:spacing w:line="600" w:lineRule="exact"/>
        <w:ind w:firstLine="640" w:firstLineChars="200"/>
        <w:rPr>
          <w:highlight w:val="none"/>
        </w:rPr>
      </w:pPr>
      <w:r>
        <w:rPr>
          <w:rFonts w:hint="eastAsia"/>
          <w:highlight w:val="none"/>
          <w:lang w:val="en-US" w:eastAsia="zh-CN"/>
        </w:rPr>
        <w:t xml:space="preserve">2. </w:t>
      </w:r>
      <w:r>
        <w:rPr>
          <w:highlight w:val="none"/>
        </w:rPr>
        <w:t>售电公司和电力用户在批发市场与发电企业、贵州电网公司统一签订年度三方电力中长期交易合同。</w:t>
      </w:r>
    </w:p>
    <w:p w14:paraId="7BA990D3">
      <w:pPr>
        <w:spacing w:line="600" w:lineRule="exact"/>
        <w:ind w:firstLine="640" w:firstLineChars="200"/>
        <w:rPr>
          <w:highlight w:val="none"/>
        </w:rPr>
      </w:pPr>
      <w:r>
        <w:rPr>
          <w:rFonts w:hint="eastAsia"/>
          <w:highlight w:val="none"/>
          <w:lang w:val="en-US" w:eastAsia="zh-CN"/>
        </w:rPr>
        <w:t xml:space="preserve">3. </w:t>
      </w:r>
      <w:r>
        <w:rPr>
          <w:highlight w:val="none"/>
        </w:rPr>
        <w:t>燃煤发电企业以机组为单位、新能源企业以发电项目为单位签订中长期交易合同。</w:t>
      </w:r>
    </w:p>
    <w:p w14:paraId="67293ADE">
      <w:pPr>
        <w:spacing w:line="600" w:lineRule="exact"/>
        <w:ind w:firstLine="640" w:firstLineChars="200"/>
        <w:rPr>
          <w:highlight w:val="none"/>
        </w:rPr>
      </w:pPr>
      <w:r>
        <w:rPr>
          <w:rFonts w:hint="eastAsia"/>
          <w:highlight w:val="none"/>
          <w:lang w:val="en-US" w:eastAsia="zh-CN"/>
        </w:rPr>
        <w:t xml:space="preserve">4. </w:t>
      </w:r>
      <w:r>
        <w:rPr>
          <w:highlight w:val="none"/>
        </w:rPr>
        <w:t>月度和多日交易成交结果通知书视同为电子合同并作为执行依据，不再组织签订三方合同。批发侧交易合同、电网代理购电合同全部带分时曲线签订。</w:t>
      </w:r>
    </w:p>
    <w:p w14:paraId="6D7A79F5">
      <w:pPr>
        <w:spacing w:line="600" w:lineRule="exact"/>
        <w:ind w:firstLine="640" w:firstLineChars="200"/>
        <w:rPr>
          <w:rFonts w:hint="eastAsia" w:eastAsia="仿宋_GB2312"/>
          <w:highlight w:val="none"/>
          <w:lang w:eastAsia="zh-CN"/>
        </w:rPr>
      </w:pPr>
      <w:r>
        <w:rPr>
          <w:rFonts w:hint="eastAsia" w:ascii="Times New Roman" w:hAnsi="Times New Roman" w:eastAsia="楷体_GB2312" w:cs="Times New Roman"/>
          <w:color w:val="000000" w:themeColor="text1"/>
          <w:sz w:val="32"/>
          <w:szCs w:val="32"/>
          <w:highlight w:val="none"/>
          <w:u w:val="none"/>
          <w:lang w:eastAsia="zh-CN"/>
          <w14:textFill>
            <w14:solidFill>
              <w14:schemeClr w14:val="tx1"/>
            </w14:solidFill>
          </w14:textFill>
        </w:rPr>
        <w:t>（二）零售合同签订</w:t>
      </w:r>
    </w:p>
    <w:p w14:paraId="26EDCBD1">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pacing w:val="0"/>
          <w:w w:val="100"/>
          <w:sz w:val="32"/>
          <w:szCs w:val="32"/>
          <w:highlight w:val="none"/>
          <w:lang w:eastAsia="zh-CN"/>
        </w:rPr>
      </w:pPr>
      <w:r>
        <w:rPr>
          <w:rFonts w:hint="eastAsia" w:cs="Times New Roman"/>
          <w:b w:val="0"/>
          <w:bCs w:val="0"/>
          <w:color w:val="auto"/>
          <w:sz w:val="32"/>
          <w:szCs w:val="32"/>
          <w:highlight w:val="none"/>
          <w:lang w:val="en-US" w:eastAsia="zh-CN"/>
        </w:rPr>
        <w:t xml:space="preserve">1. </w:t>
      </w:r>
      <w:r>
        <w:rPr>
          <w:rFonts w:hint="default" w:ascii="Times New Roman" w:hAnsi="Times New Roman" w:eastAsia="仿宋_GB2312" w:cs="Times New Roman"/>
          <w:color w:val="auto"/>
          <w:spacing w:val="0"/>
          <w:w w:val="100"/>
          <w:sz w:val="32"/>
          <w:szCs w:val="32"/>
          <w:highlight w:val="none"/>
          <w:lang w:eastAsia="zh-CN"/>
        </w:rPr>
        <w:t>零售用户须与售电公司签订零售穿透合同，在零售穿透合同中约定零售穿透比例及穿透结算价格</w:t>
      </w:r>
      <w:r>
        <w:rPr>
          <w:rFonts w:hint="eastAsia" w:cs="Times New Roman"/>
          <w:color w:val="auto"/>
          <w:spacing w:val="0"/>
          <w:w w:val="100"/>
          <w:sz w:val="32"/>
          <w:szCs w:val="32"/>
          <w:highlight w:val="none"/>
          <w:lang w:eastAsia="zh-CN"/>
        </w:rPr>
        <w:t>。</w:t>
      </w:r>
      <w:r>
        <w:rPr>
          <w:rFonts w:hint="eastAsia" w:cs="Times New Roman"/>
          <w:color w:val="auto"/>
          <w:spacing w:val="0"/>
          <w:w w:val="100"/>
          <w:sz w:val="32"/>
          <w:szCs w:val="32"/>
          <w:highlight w:val="none"/>
          <w:lang w:val="en-US" w:eastAsia="zh-CN"/>
        </w:rPr>
        <w:t>经双方协商一致，</w:t>
      </w:r>
      <w:r>
        <w:rPr>
          <w:rFonts w:hint="default" w:ascii="Times New Roman" w:hAnsi="Times New Roman" w:eastAsia="仿宋_GB2312" w:cs="Times New Roman"/>
          <w:color w:val="auto"/>
          <w:spacing w:val="0"/>
          <w:w w:val="100"/>
          <w:sz w:val="32"/>
          <w:szCs w:val="32"/>
          <w:highlight w:val="none"/>
          <w:lang w:eastAsia="zh-CN"/>
        </w:rPr>
        <w:t>可</w:t>
      </w:r>
      <w:r>
        <w:rPr>
          <w:rFonts w:hint="eastAsia" w:cs="Times New Roman"/>
          <w:color w:val="auto"/>
          <w:spacing w:val="0"/>
          <w:w w:val="100"/>
          <w:sz w:val="32"/>
          <w:szCs w:val="32"/>
          <w:highlight w:val="none"/>
          <w:lang w:val="en-US" w:eastAsia="zh-CN"/>
        </w:rPr>
        <w:t>按</w:t>
      </w:r>
      <w:r>
        <w:rPr>
          <w:rFonts w:hint="default" w:ascii="Times New Roman" w:hAnsi="Times New Roman" w:eastAsia="仿宋_GB2312" w:cs="Times New Roman"/>
          <w:color w:val="auto"/>
          <w:spacing w:val="0"/>
          <w:w w:val="100"/>
          <w:sz w:val="32"/>
          <w:szCs w:val="32"/>
          <w:highlight w:val="none"/>
          <w:lang w:eastAsia="zh-CN"/>
        </w:rPr>
        <w:t>月调整零售合同</w:t>
      </w:r>
      <w:r>
        <w:rPr>
          <w:rFonts w:hint="default" w:ascii="Times New Roman" w:hAnsi="Times New Roman" w:eastAsia="仿宋_GB2312" w:cs="Times New Roman"/>
          <w:color w:val="auto"/>
          <w:spacing w:val="0"/>
          <w:w w:val="100"/>
          <w:sz w:val="32"/>
          <w:szCs w:val="32"/>
          <w:highlight w:val="none"/>
          <w:lang w:val="en-US" w:eastAsia="zh-CN"/>
        </w:rPr>
        <w:t>电量、电价</w:t>
      </w:r>
      <w:r>
        <w:rPr>
          <w:rFonts w:hint="eastAsia" w:cs="Times New Roman"/>
          <w:color w:val="auto"/>
          <w:spacing w:val="0"/>
          <w:w w:val="100"/>
          <w:sz w:val="32"/>
          <w:szCs w:val="32"/>
          <w:highlight w:val="none"/>
          <w:lang w:val="en-US" w:eastAsia="zh-CN"/>
        </w:rPr>
        <w:t>、穿透比例</w:t>
      </w:r>
      <w:r>
        <w:rPr>
          <w:rFonts w:hint="default" w:ascii="Times New Roman" w:hAnsi="Times New Roman" w:eastAsia="仿宋_GB2312" w:cs="Times New Roman"/>
          <w:color w:val="auto"/>
          <w:spacing w:val="0"/>
          <w:w w:val="100"/>
          <w:sz w:val="32"/>
          <w:szCs w:val="32"/>
          <w:highlight w:val="none"/>
          <w:lang w:eastAsia="zh-CN"/>
        </w:rPr>
        <w:t>。</w:t>
      </w:r>
      <w:r>
        <w:rPr>
          <w:rFonts w:hint="eastAsia" w:cs="Times New Roman"/>
          <w:b w:val="0"/>
          <w:color w:val="auto"/>
          <w:spacing w:val="0"/>
          <w:w w:val="100"/>
          <w:kern w:val="2"/>
          <w:sz w:val="32"/>
          <w:szCs w:val="32"/>
          <w:highlight w:val="none"/>
          <w:lang w:val="en-US" w:eastAsia="zh-CN" w:bidi="ar-SA"/>
        </w:rPr>
        <w:t>穿透比例上限UL%为50%。</w:t>
      </w:r>
    </w:p>
    <w:p w14:paraId="2E69583A">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spacing w:val="0"/>
          <w:w w:val="100"/>
          <w:sz w:val="32"/>
          <w:szCs w:val="32"/>
          <w:highlight w:val="none"/>
          <w:lang w:val="en-US" w:eastAsia="zh-CN"/>
        </w:rPr>
      </w:pPr>
      <w:r>
        <w:rPr>
          <w:rFonts w:hint="eastAsia" w:cs="Times New Roman"/>
          <w:color w:val="auto"/>
          <w:spacing w:val="0"/>
          <w:w w:val="100"/>
          <w:sz w:val="32"/>
          <w:szCs w:val="32"/>
          <w:highlight w:val="none"/>
          <w:lang w:val="en-US" w:eastAsia="zh-CN"/>
        </w:rPr>
        <w:t>2</w:t>
      </w:r>
      <w:r>
        <w:rPr>
          <w:rFonts w:hint="eastAsia" w:ascii="Times New Roman" w:hAnsi="Times New Roman" w:cs="Times New Roman"/>
          <w:color w:val="auto"/>
          <w:spacing w:val="0"/>
          <w:w w:val="100"/>
          <w:sz w:val="32"/>
          <w:szCs w:val="32"/>
          <w:highlight w:val="none"/>
          <w:lang w:val="en-US" w:eastAsia="zh-CN"/>
        </w:rPr>
        <w:t>. 零售用户应</w:t>
      </w:r>
      <w:r>
        <w:rPr>
          <w:rFonts w:hint="eastAsia" w:cs="Times New Roman"/>
          <w:color w:val="auto"/>
          <w:spacing w:val="0"/>
          <w:w w:val="100"/>
          <w:sz w:val="32"/>
          <w:szCs w:val="32"/>
          <w:highlight w:val="none"/>
          <w:lang w:val="en-US" w:eastAsia="zh-CN"/>
        </w:rPr>
        <w:t>确保零售平台账号信息真实、准确、完整，账号名称、密码、手机号码、手机验证码等信息应妥善保管，不向他人泄露，不与他人共同使用账号，</w:t>
      </w:r>
      <w:r>
        <w:rPr>
          <w:rFonts w:hint="eastAsia" w:ascii="Times New Roman" w:hAnsi="Times New Roman" w:cs="Times New Roman"/>
          <w:color w:val="auto"/>
          <w:spacing w:val="0"/>
          <w:w w:val="100"/>
          <w:sz w:val="32"/>
          <w:szCs w:val="32"/>
          <w:highlight w:val="none"/>
          <w:lang w:val="en-US" w:eastAsia="zh-CN"/>
        </w:rPr>
        <w:t>自主完成零售合同签署</w:t>
      </w:r>
      <w:r>
        <w:rPr>
          <w:rFonts w:hint="eastAsia" w:cs="Times New Roman"/>
          <w:color w:val="auto"/>
          <w:spacing w:val="0"/>
          <w:w w:val="100"/>
          <w:sz w:val="32"/>
          <w:szCs w:val="32"/>
          <w:highlight w:val="none"/>
          <w:lang w:val="en-US" w:eastAsia="zh-CN"/>
        </w:rPr>
        <w:t>。若用户的管理员账号绑定的手机号码为售电公司人员，</w:t>
      </w:r>
      <w:r>
        <w:rPr>
          <w:rFonts w:hint="eastAsia" w:ascii="Times New Roman" w:hAnsi="Times New Roman" w:cs="Times New Roman"/>
          <w:color w:val="auto"/>
          <w:spacing w:val="0"/>
          <w:w w:val="100"/>
          <w:sz w:val="32"/>
          <w:szCs w:val="32"/>
          <w:highlight w:val="none"/>
          <w:lang w:val="en-US" w:eastAsia="zh-CN"/>
        </w:rPr>
        <w:t>该售电公司</w:t>
      </w:r>
      <w:r>
        <w:rPr>
          <w:rFonts w:hint="eastAsia" w:cs="Times New Roman"/>
          <w:color w:val="auto"/>
          <w:spacing w:val="0"/>
          <w:w w:val="100"/>
          <w:sz w:val="32"/>
          <w:szCs w:val="32"/>
          <w:highlight w:val="none"/>
          <w:lang w:val="en-US" w:eastAsia="zh-CN"/>
        </w:rPr>
        <w:t>三年内不得直接参与电力市场交易，</w:t>
      </w:r>
      <w:r>
        <w:rPr>
          <w:rFonts w:hint="eastAsia" w:cs="Times New Roman"/>
          <w:color w:val="auto"/>
          <w:spacing w:val="0"/>
          <w:w w:val="100"/>
          <w:sz w:val="32"/>
          <w:szCs w:val="32"/>
          <w:highlight w:val="none"/>
          <w:lang w:val="en-US" w:eastAsia="zh-CN"/>
        </w:rPr>
        <w:t>该手机号码不能再用于电力市场账号注册</w:t>
      </w:r>
      <w:r>
        <w:rPr>
          <w:rFonts w:hint="eastAsia" w:ascii="Times New Roman" w:hAnsi="Times New Roman" w:cs="Times New Roman"/>
          <w:color w:val="auto"/>
          <w:spacing w:val="0"/>
          <w:w w:val="100"/>
          <w:sz w:val="32"/>
          <w:szCs w:val="32"/>
          <w:highlight w:val="none"/>
          <w:lang w:val="en-US" w:eastAsia="zh-CN"/>
        </w:rPr>
        <w:t>。</w:t>
      </w:r>
    </w:p>
    <w:p w14:paraId="02FBF8C9">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highlight w:val="none"/>
          <w:lang w:eastAsia="zh-CN"/>
        </w:rPr>
      </w:pPr>
      <w:r>
        <w:rPr>
          <w:rFonts w:hint="eastAsia" w:cs="Times New Roman"/>
          <w:color w:val="auto"/>
          <w:spacing w:val="0"/>
          <w:w w:val="100"/>
          <w:sz w:val="32"/>
          <w:szCs w:val="32"/>
          <w:highlight w:val="none"/>
          <w:lang w:val="en-US" w:eastAsia="zh-CN"/>
        </w:rPr>
        <w:t>3</w:t>
      </w:r>
      <w:r>
        <w:rPr>
          <w:rFonts w:hint="eastAsia" w:ascii="Times New Roman" w:hAnsi="Times New Roman" w:cs="Times New Roman"/>
          <w:color w:val="auto"/>
          <w:spacing w:val="0"/>
          <w:w w:val="100"/>
          <w:sz w:val="32"/>
          <w:szCs w:val="32"/>
          <w:highlight w:val="none"/>
          <w:lang w:val="en-US" w:eastAsia="zh-CN"/>
        </w:rPr>
        <w:t>. 对于已直接参与市场交易的用户，其全部工商业电量均需通过市场直接购买</w:t>
      </w:r>
      <w:r>
        <w:rPr>
          <w:rFonts w:hint="eastAsia" w:cs="Times New Roman"/>
          <w:color w:val="auto"/>
          <w:spacing w:val="0"/>
          <w:w w:val="100"/>
          <w:sz w:val="32"/>
          <w:szCs w:val="32"/>
          <w:highlight w:val="none"/>
          <w:lang w:val="en-US" w:eastAsia="zh-CN"/>
        </w:rPr>
        <w:t>，</w:t>
      </w:r>
      <w:r>
        <w:rPr>
          <w:rFonts w:hint="eastAsia"/>
          <w:color w:val="auto"/>
          <w:highlight w:val="none"/>
        </w:rPr>
        <w:t>鼓励用户通过竞拍方式选择售电公司</w:t>
      </w:r>
      <w:r>
        <w:rPr>
          <w:rFonts w:hint="eastAsia"/>
          <w:color w:val="auto"/>
          <w:highlight w:val="none"/>
          <w:lang w:eastAsia="zh-CN"/>
        </w:rPr>
        <w:t>，</w:t>
      </w:r>
      <w:r>
        <w:rPr>
          <w:rFonts w:hint="eastAsia" w:ascii="Times New Roman" w:hAnsi="Times New Roman" w:cs="Times New Roman"/>
          <w:color w:val="auto"/>
          <w:spacing w:val="0"/>
          <w:w w:val="100"/>
          <w:sz w:val="32"/>
          <w:szCs w:val="32"/>
          <w:highlight w:val="none"/>
          <w:lang w:val="en-US" w:eastAsia="zh-CN"/>
        </w:rPr>
        <w:t>未及时与售电公司签订 2026年零售合同或未参与批发市场交易的，按照电力市场保底售电有关规定，执行保底零售价格。</w:t>
      </w:r>
    </w:p>
    <w:p w14:paraId="5C103DE6">
      <w:pPr>
        <w:spacing w:line="600" w:lineRule="exact"/>
        <w:ind w:firstLine="640" w:firstLineChars="200"/>
        <w:rPr>
          <w:rFonts w:hint="eastAsia" w:ascii="Times New Roman" w:hAnsi="Times New Roman" w:eastAsia="仿宋_GB2312" w:cs="Times New Roman"/>
          <w:color w:val="auto"/>
          <w:spacing w:val="0"/>
          <w:w w:val="100"/>
          <w:sz w:val="32"/>
          <w:szCs w:val="32"/>
          <w:highlight w:val="none"/>
          <w:lang w:val="en-US" w:eastAsia="zh-CN"/>
        </w:rPr>
      </w:pPr>
      <w:r>
        <w:rPr>
          <w:rFonts w:hint="eastAsia"/>
          <w:highlight w:val="none"/>
          <w:lang w:val="en-US" w:eastAsia="zh-CN"/>
        </w:rPr>
        <w:t xml:space="preserve">4. </w:t>
      </w:r>
      <w:r>
        <w:rPr>
          <w:rFonts w:hint="eastAsia" w:cs="Times New Roman"/>
          <w:color w:val="auto"/>
          <w:spacing w:val="0"/>
          <w:w w:val="100"/>
          <w:sz w:val="32"/>
          <w:szCs w:val="32"/>
          <w:highlight w:val="none"/>
          <w:lang w:val="en-US" w:eastAsia="zh-CN"/>
        </w:rPr>
        <w:t>零售用户和售电公司在贵州电力市场零售平台上签订生成的电子零售交易合同是贵州电力交易中心认可并执行的唯一合同依据，零售交易合同须分别明确电能量价格（价格形成机制）、绿证价格。</w:t>
      </w:r>
      <w:r>
        <w:rPr>
          <w:rFonts w:hint="eastAsia" w:ascii="Times New Roman" w:hAnsi="Times New Roman" w:cs="Times New Roman"/>
          <w:color w:val="auto"/>
          <w:spacing w:val="0"/>
          <w:w w:val="100"/>
          <w:sz w:val="32"/>
          <w:szCs w:val="32"/>
          <w:highlight w:val="none"/>
          <w:lang w:val="en-US" w:eastAsia="zh-CN"/>
        </w:rPr>
        <w:t>零售合同范本由贵州电力交易中心负责制定，并另行发布。</w:t>
      </w:r>
    </w:p>
    <w:p w14:paraId="0438BD72">
      <w:pPr>
        <w:spacing w:line="600" w:lineRule="exact"/>
        <w:ind w:firstLine="640" w:firstLineChars="200"/>
        <w:outlineLvl w:val="0"/>
        <w:rPr>
          <w:rFonts w:hint="eastAsia" w:eastAsia="黑体"/>
          <w:highlight w:val="none"/>
          <w:lang w:eastAsia="zh-CN"/>
        </w:rPr>
      </w:pPr>
      <w:r>
        <w:rPr>
          <w:rFonts w:hint="eastAsia" w:eastAsia="黑体"/>
          <w:highlight w:val="none"/>
          <w:lang w:eastAsia="zh-CN"/>
        </w:rPr>
        <w:t>五</w:t>
      </w:r>
      <w:r>
        <w:rPr>
          <w:rFonts w:eastAsia="黑体"/>
          <w:highlight w:val="none"/>
        </w:rPr>
        <w:t>、</w:t>
      </w:r>
      <w:r>
        <w:rPr>
          <w:rFonts w:hint="eastAsia" w:eastAsia="黑体"/>
          <w:highlight w:val="none"/>
          <w:lang w:eastAsia="zh-CN"/>
        </w:rPr>
        <w:t>价格及形成机制</w:t>
      </w:r>
    </w:p>
    <w:p w14:paraId="39048E13">
      <w:pPr>
        <w:spacing w:line="600" w:lineRule="exact"/>
        <w:ind w:firstLine="640" w:firstLineChars="200"/>
        <w:rPr>
          <w:rFonts w:hint="eastAsia" w:ascii="Times New Roman" w:hAnsi="Times New Roman" w:eastAsia="楷体_GB2312" w:cs="Times New Roman"/>
          <w:color w:val="000000" w:themeColor="text1"/>
          <w:sz w:val="32"/>
          <w:szCs w:val="32"/>
          <w:highlight w:val="none"/>
          <w:u w:val="none"/>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u w:val="none"/>
          <w:lang w:eastAsia="zh-CN"/>
          <w14:textFill>
            <w14:solidFill>
              <w14:schemeClr w14:val="tx1"/>
            </w14:solidFill>
          </w14:textFill>
        </w:rPr>
        <w:t>（一）</w:t>
      </w:r>
      <w:r>
        <w:rPr>
          <w:rFonts w:hint="eastAsia" w:eastAsia="楷体_GB2312" w:cs="Times New Roman"/>
          <w:color w:val="000000" w:themeColor="text1"/>
          <w:sz w:val="32"/>
          <w:szCs w:val="32"/>
          <w:highlight w:val="none"/>
          <w:u w:val="none"/>
          <w:lang w:eastAsia="zh-CN"/>
          <w14:textFill>
            <w14:solidFill>
              <w14:schemeClr w14:val="tx1"/>
            </w14:solidFill>
          </w14:textFill>
        </w:rPr>
        <w:t>电力</w:t>
      </w:r>
      <w:r>
        <w:rPr>
          <w:rFonts w:hint="eastAsia" w:ascii="Times New Roman" w:hAnsi="Times New Roman" w:eastAsia="楷体_GB2312" w:cs="Times New Roman"/>
          <w:color w:val="000000" w:themeColor="text1"/>
          <w:sz w:val="32"/>
          <w:szCs w:val="32"/>
          <w:highlight w:val="none"/>
          <w:u w:val="none"/>
          <w:lang w:eastAsia="zh-CN"/>
          <w14:textFill>
            <w14:solidFill>
              <w14:schemeClr w14:val="tx1"/>
            </w14:solidFill>
          </w14:textFill>
        </w:rPr>
        <w:t>中长期交易价格机制</w:t>
      </w:r>
    </w:p>
    <w:p w14:paraId="204684A1">
      <w:pPr>
        <w:widowControl w:val="0"/>
        <w:shd w:val="clear" w:color="auto" w:fill="auto"/>
        <w:spacing w:line="360" w:lineRule="auto"/>
        <w:ind w:firstLine="640" w:firstLineChars="200"/>
        <w:outlineLvl w:val="9"/>
        <w:rPr>
          <w:rFonts w:hint="eastAsia"/>
          <w:b w:val="0"/>
          <w:highlight w:val="none"/>
          <w:lang w:val="en-US" w:eastAsia="zh-CN"/>
        </w:rPr>
      </w:pPr>
      <w:r>
        <w:rPr>
          <w:rFonts w:hint="eastAsia"/>
          <w:b w:val="0"/>
          <w:highlight w:val="none"/>
          <w:lang w:val="en-US" w:eastAsia="zh-CN"/>
        </w:rPr>
        <w:t>1. 电力中长期市场的成交价格应当由经营主体通过市场化方式形成。其中燃煤发电市场交易价格通过“基准价+上下浮动”范围内形成，基准价格为0.3515元/千瓦时，上下浮动原则上均不超过20%，高耗能企业市场交易价格不受上浮20%限制。</w:t>
      </w:r>
    </w:p>
    <w:p w14:paraId="1C37B6AF">
      <w:pPr>
        <w:shd w:val="clear" w:color="auto" w:fill="auto"/>
        <w:spacing w:line="360" w:lineRule="auto"/>
        <w:ind w:firstLine="640" w:firstLineChars="200"/>
        <w:outlineLvl w:val="9"/>
        <w:rPr>
          <w:rFonts w:hint="default" w:ascii="Times New Roman" w:hAnsi="Times New Roman" w:eastAsia="仿宋_GB2312" w:cs="Times New Roman"/>
          <w:color w:val="auto"/>
          <w:sz w:val="32"/>
          <w:szCs w:val="32"/>
          <w:highlight w:val="none"/>
          <w:u w:val="none"/>
          <w:lang w:val="en-US" w:eastAsia="zh-CN"/>
        </w:rPr>
      </w:pPr>
      <w:r>
        <w:rPr>
          <w:rFonts w:hint="eastAsia"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 新能源市场价格按照《贵州省深化新能源上网电价市场化改革</w:t>
      </w:r>
      <w:r>
        <w:rPr>
          <w:rFonts w:hint="eastAsia" w:cs="Times New Roman"/>
          <w:sz w:val="32"/>
          <w:szCs w:val="32"/>
          <w:highlight w:val="none"/>
          <w:u w:val="none"/>
          <w:lang w:val="en-US" w:eastAsia="zh-CN"/>
        </w:rPr>
        <w:t>实施方案》及配套细则执行。</w:t>
      </w:r>
    </w:p>
    <w:p w14:paraId="7363D641">
      <w:pPr>
        <w:spacing w:line="600" w:lineRule="exact"/>
        <w:ind w:firstLine="640" w:firstLineChars="200"/>
        <w:rPr>
          <w:rFonts w:hint="eastAsia"/>
          <w:highlight w:val="none"/>
          <w:lang w:eastAsia="zh-CN"/>
        </w:rPr>
      </w:pPr>
      <w:r>
        <w:rPr>
          <w:rFonts w:hint="eastAsia" w:ascii="Times New Roman" w:hAnsi="Times New Roman" w:eastAsia="楷体_GB2312" w:cs="Times New Roman"/>
          <w:color w:val="000000" w:themeColor="text1"/>
          <w:sz w:val="32"/>
          <w:szCs w:val="32"/>
          <w:highlight w:val="none"/>
          <w:u w:val="none"/>
          <w:lang w:eastAsia="zh-CN"/>
          <w14:textFill>
            <w14:solidFill>
              <w14:schemeClr w14:val="tx1"/>
            </w14:solidFill>
          </w14:textFill>
        </w:rPr>
        <w:t>（二）电网代理购电价格机制</w:t>
      </w:r>
    </w:p>
    <w:p w14:paraId="119640C9">
      <w:pPr>
        <w:spacing w:line="600" w:lineRule="exact"/>
        <w:ind w:firstLine="640" w:firstLineChars="200"/>
        <w:outlineLvl w:val="1"/>
        <w:rPr>
          <w:rFonts w:hint="default" w:eastAsia="仿宋_GB2312"/>
          <w:highlight w:val="none"/>
          <w:lang w:val="en-US" w:eastAsia="zh-CN"/>
        </w:rPr>
      </w:pPr>
      <w:r>
        <w:rPr>
          <w:rFonts w:hint="eastAsia"/>
          <w:highlight w:val="none"/>
          <w:lang w:val="en-US" w:eastAsia="zh-CN"/>
        </w:rPr>
        <w:t xml:space="preserve">1. </w:t>
      </w:r>
      <w:r>
        <w:rPr>
          <w:highlight w:val="none"/>
        </w:rPr>
        <w:t>电网企业代理购电采取年度挂牌交易方式</w:t>
      </w:r>
      <w:r>
        <w:rPr>
          <w:rFonts w:hint="eastAsia"/>
          <w:highlight w:val="none"/>
          <w:lang w:val="en-US" w:eastAsia="zh-CN"/>
        </w:rPr>
        <w:t>的</w:t>
      </w:r>
      <w:r>
        <w:rPr>
          <w:highlight w:val="none"/>
        </w:rPr>
        <w:t>，价格按</w:t>
      </w:r>
      <w:r>
        <w:rPr>
          <w:rFonts w:hint="eastAsia"/>
          <w:highlight w:val="none"/>
          <w:lang w:val="en-US" w:eastAsia="zh-CN"/>
        </w:rPr>
        <w:t>当年年度集中竞价交易加权平均价格确定，</w:t>
      </w:r>
      <w:r>
        <w:rPr>
          <w:highlight w:val="none"/>
        </w:rPr>
        <w:t>如未开展</w:t>
      </w:r>
      <w:r>
        <w:rPr>
          <w:rFonts w:hint="eastAsia"/>
          <w:highlight w:val="none"/>
          <w:lang w:val="en-US" w:eastAsia="zh-CN"/>
        </w:rPr>
        <w:t>年</w:t>
      </w:r>
      <w:r>
        <w:rPr>
          <w:highlight w:val="none"/>
        </w:rPr>
        <w:t>度集中竞价或集中竞价电量占</w:t>
      </w:r>
      <w:r>
        <w:rPr>
          <w:rFonts w:hint="eastAsia"/>
          <w:highlight w:val="none"/>
          <w:lang w:val="en-US" w:eastAsia="zh-CN"/>
        </w:rPr>
        <w:t>年</w:t>
      </w:r>
      <w:r>
        <w:rPr>
          <w:highlight w:val="none"/>
        </w:rPr>
        <w:t>度直接交易成交电量（不含电网代理购电量）比例低于20%，</w:t>
      </w:r>
      <w:r>
        <w:rPr>
          <w:rFonts w:hint="eastAsia"/>
          <w:highlight w:val="none"/>
          <w:lang w:val="en-US" w:eastAsia="zh-CN"/>
        </w:rPr>
        <w:t>挂牌价格按照年度批发侧市场化直接交易签约均价执行，以燃煤市场化机组签订的中长期交易合同计算</w:t>
      </w:r>
      <w:r>
        <w:rPr>
          <w:highlight w:val="none"/>
        </w:rPr>
        <w:t>。</w:t>
      </w:r>
    </w:p>
    <w:p w14:paraId="3508B07F">
      <w:pPr>
        <w:widowControl/>
        <w:spacing w:line="600" w:lineRule="exact"/>
        <w:ind w:firstLine="640" w:firstLineChars="200"/>
        <w:rPr>
          <w:rFonts w:hint="eastAsia" w:eastAsia="仿宋_GB2312"/>
          <w:highlight w:val="none"/>
          <w:lang w:val="en-US" w:eastAsia="zh-CN"/>
        </w:rPr>
      </w:pPr>
      <w:r>
        <w:rPr>
          <w:rFonts w:hint="eastAsia"/>
          <w:highlight w:val="none"/>
          <w:lang w:val="en-US" w:eastAsia="zh-CN"/>
        </w:rPr>
        <w:t xml:space="preserve">2. </w:t>
      </w:r>
      <w:r>
        <w:rPr>
          <w:highlight w:val="none"/>
        </w:rPr>
        <w:t>电网企业代理购电采取月度</w:t>
      </w:r>
      <w:r>
        <w:rPr>
          <w:rFonts w:hint="eastAsia"/>
          <w:highlight w:val="none"/>
          <w:lang w:eastAsia="zh-CN"/>
        </w:rPr>
        <w:t>、</w:t>
      </w:r>
      <w:r>
        <w:rPr>
          <w:rFonts w:hint="eastAsia"/>
          <w:highlight w:val="none"/>
          <w:lang w:val="en-US" w:eastAsia="zh-CN"/>
        </w:rPr>
        <w:t>月内</w:t>
      </w:r>
      <w:r>
        <w:rPr>
          <w:highlight w:val="none"/>
        </w:rPr>
        <w:t>挂牌交易方式进行的，挂牌价格按</w:t>
      </w:r>
      <w:r>
        <w:rPr>
          <w:rFonts w:hint="eastAsia"/>
          <w:highlight w:val="none"/>
          <w:lang w:val="en-US" w:eastAsia="zh-CN"/>
        </w:rPr>
        <w:t>上</w:t>
      </w:r>
      <w:r>
        <w:rPr>
          <w:highlight w:val="none"/>
        </w:rPr>
        <w:t>月月度集中竞价交易</w:t>
      </w:r>
      <w:r>
        <w:rPr>
          <w:rFonts w:hint="eastAsia"/>
          <w:highlight w:val="none"/>
          <w:lang w:val="en-US" w:eastAsia="zh-CN"/>
        </w:rPr>
        <w:t>加权平均</w:t>
      </w:r>
      <w:r>
        <w:rPr>
          <w:highlight w:val="none"/>
        </w:rPr>
        <w:t>价格确定。如未开展月度集中竞价或集中竞价电量占月度直接交易成交电量（不含电网代理购电量）比例低于20%，代理购电价格按上月批发侧市场化直接交易</w:t>
      </w:r>
      <w:r>
        <w:rPr>
          <w:rFonts w:hint="eastAsia"/>
          <w:highlight w:val="none"/>
          <w:lang w:eastAsia="zh-CN"/>
        </w:rPr>
        <w:t>签约</w:t>
      </w:r>
      <w:r>
        <w:rPr>
          <w:highlight w:val="none"/>
        </w:rPr>
        <w:t>均价执行</w:t>
      </w:r>
      <w:r>
        <w:rPr>
          <w:rFonts w:hint="eastAsia"/>
          <w:highlight w:val="none"/>
          <w:lang w:eastAsia="zh-CN"/>
        </w:rPr>
        <w:t>，</w:t>
      </w:r>
      <w:r>
        <w:rPr>
          <w:rFonts w:hint="eastAsia"/>
          <w:highlight w:val="none"/>
          <w:lang w:val="en-US" w:eastAsia="zh-CN"/>
        </w:rPr>
        <w:t>以燃煤市场化机组签订的中长期交易合同计算，</w:t>
      </w:r>
      <w:r>
        <w:rPr>
          <w:highlight w:val="none"/>
        </w:rPr>
        <w:t>需包含年度交易分解到月度交易合同。</w:t>
      </w:r>
    </w:p>
    <w:p w14:paraId="1A2DD7A9">
      <w:pPr>
        <w:spacing w:line="600" w:lineRule="exact"/>
        <w:ind w:firstLine="640" w:firstLineChars="200"/>
        <w:outlineLvl w:val="0"/>
        <w:rPr>
          <w:rFonts w:hint="eastAsia" w:eastAsia="黑体"/>
          <w:highlight w:val="none"/>
          <w:lang w:eastAsia="zh-CN"/>
        </w:rPr>
      </w:pPr>
      <w:r>
        <w:rPr>
          <w:rFonts w:hint="eastAsia" w:eastAsia="黑体"/>
          <w:highlight w:val="none"/>
          <w:lang w:val="en-US" w:eastAsia="zh-CN"/>
        </w:rPr>
        <w:t>六</w:t>
      </w:r>
      <w:r>
        <w:rPr>
          <w:rFonts w:eastAsia="黑体"/>
          <w:highlight w:val="none"/>
        </w:rPr>
        <w:t>、</w:t>
      </w:r>
      <w:r>
        <w:rPr>
          <w:rFonts w:hint="eastAsia" w:eastAsia="黑体"/>
          <w:highlight w:val="none"/>
          <w:lang w:val="en-US" w:eastAsia="zh-CN"/>
        </w:rPr>
        <w:t>交易</w:t>
      </w:r>
      <w:r>
        <w:rPr>
          <w:rFonts w:eastAsia="黑体"/>
          <w:highlight w:val="none"/>
        </w:rPr>
        <w:t>结算</w:t>
      </w:r>
    </w:p>
    <w:p w14:paraId="022D79A0">
      <w:pPr>
        <w:keepNext w:val="0"/>
        <w:keepLines w:val="0"/>
        <w:widowControl/>
        <w:suppressLineNumbers w:val="0"/>
        <w:ind w:firstLine="640" w:firstLineChars="200"/>
        <w:jc w:val="left"/>
        <w:rPr>
          <w:rFonts w:hint="eastAsia" w:ascii="楷体_GB2312" w:hAnsi="楷体_GB2312" w:eastAsia="楷体_GB2312" w:cs="楷体_GB2312"/>
          <w:highlight w:val="none"/>
          <w:lang w:val="en-US" w:eastAsia="zh-CN"/>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一）结算周期及模式</w:t>
      </w:r>
    </w:p>
    <w:p w14:paraId="786A13BC">
      <w:pPr>
        <w:keepNext w:val="0"/>
        <w:keepLines w:val="0"/>
        <w:widowControl/>
        <w:suppressLineNumbers w:val="0"/>
        <w:ind w:firstLine="640" w:firstLineChars="200"/>
        <w:jc w:val="left"/>
        <w:rPr>
          <w:rFonts w:hint="eastAsia"/>
          <w:highlight w:val="none"/>
          <w:lang w:val="en-US" w:eastAsia="zh-CN"/>
        </w:rPr>
      </w:pPr>
      <w:r>
        <w:rPr>
          <w:rFonts w:hint="eastAsia"/>
          <w:highlight w:val="none"/>
          <w:lang w:val="en-US" w:eastAsia="zh-CN"/>
        </w:rPr>
        <w:t>电力批发市场采用“日清月结”“月度平衡”的结算模式，电费计算周期为日，以小时为基本计算时段，出具日清分临时结算结果，发用电侧分开解耦结算，各经营主体合同电量和偏差电量分开计算，统一结算。以月度为周期出具结算依据，开展电费结算，根据需要开展退补清算。</w:t>
      </w:r>
      <w:r>
        <w:rPr>
          <w:rFonts w:ascii="仿宋_GB2312" w:hAnsi="仿宋_GB2312" w:eastAsia="仿宋_GB2312" w:cs="仿宋_GB2312"/>
          <w:color w:val="000000"/>
          <w:kern w:val="0"/>
          <w:sz w:val="31"/>
          <w:szCs w:val="31"/>
          <w:highlight w:val="none"/>
          <w:lang w:val="en-US" w:eastAsia="zh-CN" w:bidi="ar"/>
        </w:rPr>
        <w:t>零售市场以月度为周期开展结算，并出具结算依据。</w:t>
      </w:r>
    </w:p>
    <w:p w14:paraId="14DC0580">
      <w:pPr>
        <w:widowControl/>
        <w:spacing w:line="240" w:lineRule="auto"/>
        <w:ind w:firstLine="640" w:firstLineChars="200"/>
        <w:jc w:val="left"/>
        <w:rPr>
          <w:rFonts w:hint="eastAsia" w:ascii="楷体_GB2312" w:hAnsi="楷体_GB2312" w:eastAsia="楷体_GB2312" w:cs="楷体_GB2312"/>
          <w:highlight w:val="none"/>
        </w:rPr>
      </w:pPr>
      <w:r>
        <w:rPr>
          <w:rFonts w:hint="eastAsia" w:ascii="楷体_GB2312" w:hAnsi="楷体_GB2312" w:eastAsia="楷体_GB2312" w:cs="楷体_GB2312"/>
          <w:highlight w:val="none"/>
        </w:rPr>
        <w:t>（</w:t>
      </w:r>
      <w:r>
        <w:rPr>
          <w:rFonts w:hint="eastAsia" w:ascii="楷体_GB2312" w:hAnsi="楷体_GB2312" w:eastAsia="楷体_GB2312" w:cs="楷体_GB2312"/>
          <w:highlight w:val="none"/>
          <w:lang w:val="en-US" w:eastAsia="zh-CN"/>
        </w:rPr>
        <w:t>二</w:t>
      </w:r>
      <w:r>
        <w:rPr>
          <w:rFonts w:hint="eastAsia" w:ascii="楷体_GB2312" w:hAnsi="楷体_GB2312" w:eastAsia="楷体_GB2312" w:cs="楷体_GB2312"/>
          <w:highlight w:val="none"/>
        </w:rPr>
        <w:t>）</w:t>
      </w:r>
      <w:r>
        <w:rPr>
          <w:rFonts w:hint="eastAsia" w:ascii="楷体_GB2312" w:hAnsi="楷体_GB2312" w:eastAsia="楷体_GB2312" w:cs="楷体_GB2312"/>
          <w:highlight w:val="none"/>
          <w:lang w:val="en-US" w:eastAsia="zh-CN"/>
        </w:rPr>
        <w:t>绿电</w:t>
      </w:r>
      <w:r>
        <w:rPr>
          <w:rFonts w:hint="eastAsia" w:ascii="楷体_GB2312" w:hAnsi="楷体_GB2312" w:eastAsia="楷体_GB2312" w:cs="楷体_GB2312"/>
          <w:highlight w:val="none"/>
        </w:rPr>
        <w:t>结算</w:t>
      </w:r>
    </w:p>
    <w:p w14:paraId="0FC568B0">
      <w:pPr>
        <w:spacing w:line="600" w:lineRule="exact"/>
        <w:ind w:firstLine="640" w:firstLineChars="200"/>
        <w:rPr>
          <w:rFonts w:hint="eastAsia"/>
          <w:highlight w:val="none"/>
        </w:rPr>
      </w:pPr>
      <w:r>
        <w:rPr>
          <w:rFonts w:hint="eastAsia"/>
          <w:highlight w:val="none"/>
        </w:rPr>
        <w:t>电力用户与新能源企业发电项目开展绿色电力交易时，按照证电分离方式结算，</w:t>
      </w:r>
      <w:r>
        <w:rPr>
          <w:rFonts w:hint="eastAsia"/>
          <w:highlight w:val="none"/>
          <w:lang w:val="en-US" w:eastAsia="zh-CN"/>
        </w:rPr>
        <w:t>纳入可持续发展价格结算机制的电量不重复获得绿证收益，</w:t>
      </w:r>
      <w:r>
        <w:rPr>
          <w:rFonts w:hint="eastAsia"/>
          <w:highlight w:val="none"/>
        </w:rPr>
        <w:t>即按照合同电量及偏差电量结算方式开展电能量结算，环境溢价费用按照每笔绿色电力交易合同的电力用户或售电公司的实际分配用电量、发电企业的上网电量扣减机制电量后剩余上网电量实际分配量以及双方之间的合同电量三者取小确定</w:t>
      </w:r>
      <w:r>
        <w:rPr>
          <w:rFonts w:hint="eastAsia"/>
          <w:highlight w:val="none"/>
          <w:lang w:eastAsia="zh-CN"/>
        </w:rPr>
        <w:t>，</w:t>
      </w:r>
      <w:r>
        <w:rPr>
          <w:rFonts w:hint="eastAsia"/>
          <w:highlight w:val="none"/>
        </w:rPr>
        <w:t>获取相应电量的绿证。</w:t>
      </w:r>
    </w:p>
    <w:p w14:paraId="50E47497">
      <w:pPr>
        <w:widowControl/>
        <w:numPr>
          <w:ilvl w:val="-1"/>
          <w:numId w:val="0"/>
        </w:numPr>
        <w:spacing w:line="240" w:lineRule="auto"/>
        <w:ind w:firstLine="640" w:firstLineChars="200"/>
        <w:jc w:val="left"/>
        <w:outlineLvl w:val="9"/>
        <w:rPr>
          <w:rFonts w:hint="eastAsia" w:ascii="楷体_GB2312" w:hAnsi="楷体_GB2312" w:eastAsia="楷体_GB2312" w:cs="楷体_GB2312"/>
          <w:spacing w:val="0"/>
          <w:w w:val="100"/>
          <w:sz w:val="32"/>
          <w:szCs w:val="32"/>
          <w:highlight w:val="none"/>
          <w:lang w:val="en-US" w:eastAsia="zh-CN"/>
        </w:rPr>
      </w:pPr>
      <w:r>
        <w:rPr>
          <w:rFonts w:hint="eastAsia" w:ascii="楷体_GB2312" w:hAnsi="楷体_GB2312" w:eastAsia="楷体_GB2312" w:cs="楷体_GB2312"/>
          <w:spacing w:val="0"/>
          <w:w w:val="100"/>
          <w:sz w:val="32"/>
          <w:szCs w:val="32"/>
          <w:highlight w:val="none"/>
          <w:lang w:val="en-US" w:eastAsia="zh-CN"/>
        </w:rPr>
        <w:t>（三）作为价格接受者的新能源发电企业结算</w:t>
      </w:r>
    </w:p>
    <w:p w14:paraId="0C3715B8">
      <w:pPr>
        <w:widowControl/>
        <w:spacing w:line="600" w:lineRule="exact"/>
        <w:ind w:firstLine="640" w:firstLineChars="200"/>
        <w:outlineLvl w:val="9"/>
        <w:rPr>
          <w:rFonts w:hint="eastAsia" w:eastAsia="黑体"/>
          <w:highlight w:val="none"/>
          <w:lang w:eastAsia="zh-CN"/>
        </w:rPr>
      </w:pPr>
      <w:r>
        <w:rPr>
          <w:rFonts w:hint="eastAsia" w:cs="Times New Roman"/>
          <w:color w:val="auto"/>
          <w:spacing w:val="0"/>
          <w:w w:val="100"/>
          <w:sz w:val="32"/>
          <w:szCs w:val="32"/>
          <w:highlight w:val="none"/>
          <w:lang w:val="en-US" w:eastAsia="zh-CN"/>
        </w:rPr>
        <w:t>未参与交易且不报量不报价的新能源发电企业</w:t>
      </w:r>
      <w:r>
        <w:rPr>
          <w:rFonts w:hint="eastAsia" w:ascii="Times New Roman" w:hAnsi="Times New Roman" w:cs="Times New Roman"/>
          <w:color w:val="auto"/>
          <w:spacing w:val="0"/>
          <w:w w:val="100"/>
          <w:sz w:val="32"/>
          <w:szCs w:val="32"/>
          <w:highlight w:val="none"/>
          <w:lang w:val="en-US" w:eastAsia="zh-CN"/>
        </w:rPr>
        <w:t>作为价格接受者直接参与现货市场结算</w:t>
      </w:r>
      <w:r>
        <w:rPr>
          <w:rFonts w:hint="eastAsia" w:cs="Times New Roman"/>
          <w:color w:val="auto"/>
          <w:spacing w:val="0"/>
          <w:w w:val="100"/>
          <w:sz w:val="32"/>
          <w:szCs w:val="32"/>
          <w:highlight w:val="none"/>
          <w:lang w:val="en-US" w:eastAsia="zh-CN"/>
        </w:rPr>
        <w:t>，由电网企业进行结算</w:t>
      </w:r>
      <w:r>
        <w:rPr>
          <w:rFonts w:hint="eastAsia" w:ascii="Times New Roman" w:hAnsi="Times New Roman" w:cs="Times New Roman"/>
          <w:color w:val="auto"/>
          <w:spacing w:val="0"/>
          <w:w w:val="100"/>
          <w:sz w:val="32"/>
          <w:szCs w:val="32"/>
          <w:highlight w:val="none"/>
          <w:lang w:val="en-US" w:eastAsia="zh-CN"/>
        </w:rPr>
        <w:t>。</w:t>
      </w:r>
      <w:r>
        <w:rPr>
          <w:rFonts w:hint="eastAsia" w:cs="Times New Roman"/>
          <w:color w:val="auto"/>
          <w:spacing w:val="0"/>
          <w:w w:val="100"/>
          <w:sz w:val="32"/>
          <w:szCs w:val="32"/>
          <w:highlight w:val="none"/>
          <w:lang w:val="en-US" w:eastAsia="zh-CN"/>
        </w:rPr>
        <w:t>未参与交易的新能源发电企业指从未参加过中长期和日前现货申报或从未参加过日前现货申报的新能源发电企业。</w:t>
      </w:r>
    </w:p>
    <w:p w14:paraId="384F7633">
      <w:pPr>
        <w:spacing w:line="600" w:lineRule="exact"/>
        <w:ind w:firstLine="640" w:firstLineChars="200"/>
        <w:outlineLvl w:val="0"/>
        <w:rPr>
          <w:rFonts w:hint="eastAsia" w:ascii="Times New Roman" w:hAnsi="Times New Roman" w:cs="Times New Roman"/>
          <w:highlight w:val="none"/>
          <w:lang w:val="en-US" w:eastAsia="zh-CN"/>
        </w:rPr>
      </w:pPr>
      <w:r>
        <w:rPr>
          <w:rFonts w:hint="eastAsia" w:eastAsia="黑体"/>
          <w:highlight w:val="none"/>
          <w:lang w:eastAsia="zh-CN"/>
        </w:rPr>
        <w:t>七</w:t>
      </w:r>
      <w:r>
        <w:rPr>
          <w:rFonts w:eastAsia="黑体"/>
          <w:highlight w:val="none"/>
        </w:rPr>
        <w:t>、其他</w:t>
      </w:r>
      <w:r>
        <w:rPr>
          <w:rFonts w:hint="eastAsia" w:eastAsia="黑体"/>
          <w:highlight w:val="none"/>
          <w:lang w:val="en-US" w:eastAsia="zh-CN"/>
        </w:rPr>
        <w:t>关键机制</w:t>
      </w:r>
    </w:p>
    <w:p w14:paraId="0F7EA9BC">
      <w:pPr>
        <w:widowControl/>
        <w:spacing w:line="600" w:lineRule="exact"/>
        <w:ind w:firstLine="640" w:firstLineChars="200"/>
        <w:jc w:val="left"/>
        <w:rPr>
          <w:rFonts w:hint="eastAsia" w:eastAsia="楷体_GB2312"/>
          <w:highlight w:val="none"/>
          <w:lang w:val="en-US" w:eastAsia="zh-CN"/>
        </w:rPr>
      </w:pPr>
      <w:r>
        <w:rPr>
          <w:rFonts w:eastAsia="楷体_GB2312"/>
          <w:highlight w:val="none"/>
        </w:rPr>
        <w:t>（</w:t>
      </w:r>
      <w:r>
        <w:rPr>
          <w:rFonts w:hint="eastAsia" w:eastAsia="楷体_GB2312"/>
          <w:highlight w:val="none"/>
          <w:lang w:eastAsia="zh-CN"/>
        </w:rPr>
        <w:t>一</w:t>
      </w:r>
      <w:r>
        <w:rPr>
          <w:rFonts w:eastAsia="楷体_GB2312"/>
          <w:highlight w:val="none"/>
        </w:rPr>
        <w:t>）</w:t>
      </w:r>
      <w:r>
        <w:rPr>
          <w:rFonts w:hint="eastAsia" w:eastAsia="楷体_GB2312"/>
          <w:highlight w:val="none"/>
          <w:lang w:eastAsia="zh-CN"/>
        </w:rPr>
        <w:t>新能源参与市场衔接机制</w:t>
      </w:r>
    </w:p>
    <w:p w14:paraId="06F17EE3">
      <w:pPr>
        <w:widowControl/>
        <w:spacing w:line="600" w:lineRule="exact"/>
        <w:ind w:firstLine="640" w:firstLineChars="20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新能源发电企业（风电、太阳能发电）上网电量按照《贵州省关于深化新能源上网电价市场化改革实施方案》要求全面入市</w:t>
      </w:r>
      <w:r>
        <w:rPr>
          <w:rFonts w:hint="eastAsia" w:cs="Times New Roman"/>
          <w:highlight w:val="none"/>
          <w:lang w:val="en-US" w:eastAsia="zh-CN"/>
        </w:rPr>
        <w:t>，做好具体衔接</w:t>
      </w:r>
      <w:r>
        <w:rPr>
          <w:rFonts w:hint="eastAsia" w:ascii="Times New Roman" w:hAnsi="Times New Roman" w:cs="Times New Roman"/>
          <w:highlight w:val="none"/>
          <w:lang w:val="en-US" w:eastAsia="zh-CN"/>
        </w:rPr>
        <w:t>。</w:t>
      </w:r>
    </w:p>
    <w:p w14:paraId="7200E417">
      <w:pPr>
        <w:widowControl/>
        <w:numPr>
          <w:ilvl w:val="0"/>
          <w:numId w:val="2"/>
        </w:numPr>
        <w:spacing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新能源中长期年</w:t>
      </w:r>
      <w:r>
        <w:rPr>
          <w:rFonts w:hint="eastAsia" w:ascii="Times New Roman" w:hAnsi="Times New Roman"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净合约电量上限</w:t>
      </w:r>
    </w:p>
    <w:p w14:paraId="79E0BABC">
      <w:pPr>
        <w:widowControl/>
        <w:spacing w:line="600" w:lineRule="exact"/>
        <w:ind w:firstLine="640" w:firstLineChars="200"/>
        <w:jc w:val="both"/>
        <w:rPr>
          <w:rFonts w:hint="default" w:eastAsia="楷体_GB2312"/>
          <w:highlight w:val="none"/>
          <w:lang w:val="en-US" w:eastAsia="zh-CN"/>
        </w:rPr>
      </w:pPr>
      <w:r>
        <w:rPr>
          <w:rFonts w:hint="eastAsia" w:ascii="Times New Roman" w:hAnsi="Times New Roman" w:eastAsia="仿宋_GB2312" w:cs="Times New Roman"/>
          <w:color w:val="auto"/>
          <w:sz w:val="32"/>
          <w:szCs w:val="32"/>
          <w:highlight w:val="none"/>
          <w:lang w:eastAsia="zh-CN"/>
        </w:rPr>
        <w:t>调整新能源</w:t>
      </w:r>
      <w:r>
        <w:rPr>
          <w:rFonts w:hint="eastAsia" w:cs="Times New Roman"/>
          <w:color w:val="auto"/>
          <w:sz w:val="32"/>
          <w:szCs w:val="32"/>
          <w:highlight w:val="none"/>
          <w:lang w:val="en-US" w:eastAsia="zh-CN"/>
        </w:rPr>
        <w:t>发电企业</w:t>
      </w:r>
      <w:r>
        <w:rPr>
          <w:rFonts w:hint="eastAsia" w:ascii="Times New Roman" w:hAnsi="Times New Roman" w:eastAsia="仿宋_GB2312" w:cs="Times New Roman"/>
          <w:color w:val="auto"/>
          <w:sz w:val="32"/>
          <w:szCs w:val="32"/>
          <w:highlight w:val="none"/>
          <w:lang w:eastAsia="zh-CN"/>
        </w:rPr>
        <w:t>中长期</w:t>
      </w:r>
      <w:r>
        <w:rPr>
          <w:rFonts w:hint="eastAsia" w:cs="Times New Roman"/>
          <w:color w:val="auto"/>
          <w:sz w:val="32"/>
          <w:szCs w:val="32"/>
          <w:highlight w:val="none"/>
          <w:lang w:eastAsia="zh-CN"/>
        </w:rPr>
        <w:t>月度</w:t>
      </w:r>
      <w:r>
        <w:rPr>
          <w:rFonts w:hint="eastAsia" w:ascii="Times New Roman" w:hAnsi="Times New Roman" w:eastAsia="仿宋_GB2312" w:cs="Times New Roman"/>
          <w:color w:val="auto"/>
          <w:sz w:val="32"/>
          <w:szCs w:val="32"/>
          <w:highlight w:val="none"/>
          <w:lang w:eastAsia="zh-CN"/>
        </w:rPr>
        <w:t>净合约电量上限</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为近三年该类型机组同期月份平均发电利用小时数乘以装机容量乘以</w:t>
      </w:r>
      <w:r>
        <w:rPr>
          <w:rFonts w:hint="eastAsia" w:ascii="Times New Roman" w:hAnsi="Times New Roman" w:eastAsia="仿宋_GB2312" w:cs="Times New Roman"/>
          <w:color w:val="auto"/>
          <w:sz w:val="32"/>
          <w:szCs w:val="32"/>
          <w:highlight w:val="none"/>
          <w:lang w:eastAsia="zh-CN"/>
        </w:rPr>
        <w:t>（1</w:t>
      </w:r>
      <w:r>
        <w:rPr>
          <w:rFonts w:hint="eastAsia"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机制电量比例）</w:t>
      </w:r>
      <w:r>
        <w:rPr>
          <w:rFonts w:hint="eastAsia" w:cs="Times New Roman"/>
          <w:color w:val="auto"/>
          <w:sz w:val="32"/>
          <w:szCs w:val="32"/>
          <w:highlight w:val="none"/>
          <w:lang w:eastAsia="zh-CN"/>
        </w:rPr>
        <w:t>，按月累加得到</w:t>
      </w:r>
      <w:r>
        <w:rPr>
          <w:rFonts w:hint="eastAsia" w:ascii="Times New Roman" w:hAnsi="Times New Roman" w:eastAsia="仿宋_GB2312" w:cs="Times New Roman"/>
          <w:color w:val="auto"/>
          <w:sz w:val="32"/>
          <w:szCs w:val="32"/>
          <w:highlight w:val="none"/>
          <w:lang w:eastAsia="zh-CN"/>
        </w:rPr>
        <w:t>中长期</w:t>
      </w:r>
      <w:r>
        <w:rPr>
          <w:rFonts w:hint="eastAsia" w:cs="Times New Roman"/>
          <w:color w:val="auto"/>
          <w:sz w:val="32"/>
          <w:szCs w:val="32"/>
          <w:highlight w:val="none"/>
          <w:lang w:val="en-US" w:eastAsia="zh-CN"/>
        </w:rPr>
        <w:t>年度</w:t>
      </w:r>
      <w:r>
        <w:rPr>
          <w:rFonts w:hint="eastAsia" w:ascii="Times New Roman" w:hAnsi="Times New Roman" w:eastAsia="仿宋_GB2312" w:cs="Times New Roman"/>
          <w:color w:val="auto"/>
          <w:sz w:val="32"/>
          <w:szCs w:val="32"/>
          <w:highlight w:val="none"/>
          <w:lang w:eastAsia="zh-CN"/>
        </w:rPr>
        <w:t>净合约电量</w:t>
      </w:r>
      <w:r>
        <w:rPr>
          <w:rFonts w:hint="eastAsia" w:cs="Times New Roman"/>
          <w:color w:val="auto"/>
          <w:sz w:val="32"/>
          <w:szCs w:val="32"/>
          <w:highlight w:val="none"/>
          <w:lang w:val="en-US" w:eastAsia="zh-CN"/>
        </w:rPr>
        <w:t>上限。</w:t>
      </w:r>
      <w:r>
        <w:rPr>
          <w:rFonts w:hint="eastAsia" w:ascii="Times New Roman" w:hAnsi="Times New Roman" w:eastAsia="仿宋_GB2312" w:cs="Times New Roman"/>
          <w:color w:val="auto"/>
          <w:sz w:val="32"/>
          <w:szCs w:val="32"/>
          <w:highlight w:val="none"/>
          <w:lang w:eastAsia="zh-CN"/>
        </w:rPr>
        <w:t>对于新投产新能源</w:t>
      </w:r>
      <w:r>
        <w:rPr>
          <w:rFonts w:hint="eastAsia" w:cs="Times New Roman"/>
          <w:color w:val="auto"/>
          <w:sz w:val="32"/>
          <w:szCs w:val="32"/>
          <w:highlight w:val="none"/>
          <w:lang w:val="en-US" w:eastAsia="zh-CN"/>
        </w:rPr>
        <w:t>发电企业签约限额</w:t>
      </w:r>
      <w:r>
        <w:rPr>
          <w:rFonts w:hint="eastAsia" w:ascii="Times New Roman" w:hAnsi="Times New Roman" w:eastAsia="仿宋_GB2312" w:cs="Times New Roman"/>
          <w:color w:val="auto"/>
          <w:sz w:val="32"/>
          <w:szCs w:val="32"/>
          <w:highlight w:val="none"/>
          <w:lang w:eastAsia="zh-CN"/>
        </w:rPr>
        <w:t>按照</w:t>
      </w:r>
      <w:r>
        <w:rPr>
          <w:rFonts w:hint="eastAsia" w:cs="Times New Roman"/>
          <w:color w:val="auto"/>
          <w:sz w:val="32"/>
          <w:szCs w:val="32"/>
          <w:highlight w:val="none"/>
          <w:lang w:val="en-US" w:eastAsia="zh-CN"/>
        </w:rPr>
        <w:t>其承诺</w:t>
      </w:r>
      <w:r>
        <w:rPr>
          <w:rFonts w:hint="eastAsia" w:ascii="Times New Roman" w:hAnsi="Times New Roman" w:eastAsia="仿宋_GB2312" w:cs="Times New Roman"/>
          <w:color w:val="auto"/>
          <w:sz w:val="32"/>
          <w:szCs w:val="32"/>
          <w:highlight w:val="none"/>
          <w:lang w:eastAsia="zh-CN"/>
        </w:rPr>
        <w:t>投产日期</w:t>
      </w:r>
      <w:r>
        <w:rPr>
          <w:rFonts w:hint="eastAsia" w:cs="Times New Roman"/>
          <w:color w:val="auto"/>
          <w:sz w:val="32"/>
          <w:szCs w:val="32"/>
          <w:highlight w:val="none"/>
          <w:lang w:val="en-US" w:eastAsia="zh-CN"/>
        </w:rPr>
        <w:t>容量</w:t>
      </w:r>
      <w:r>
        <w:rPr>
          <w:rFonts w:hint="eastAsia" w:ascii="Times New Roman" w:hAnsi="Times New Roman" w:eastAsia="仿宋_GB2312" w:cs="Times New Roman"/>
          <w:color w:val="auto"/>
          <w:sz w:val="32"/>
          <w:szCs w:val="32"/>
          <w:highlight w:val="none"/>
          <w:lang w:eastAsia="zh-CN"/>
        </w:rPr>
        <w:t>计算</w:t>
      </w:r>
      <w:r>
        <w:rPr>
          <w:rFonts w:hint="eastAsia" w:cs="Times New Roman"/>
          <w:color w:val="auto"/>
          <w:sz w:val="32"/>
          <w:szCs w:val="32"/>
          <w:highlight w:val="none"/>
          <w:lang w:val="en-US" w:eastAsia="zh-CN"/>
        </w:rPr>
        <w:t>限额</w:t>
      </w:r>
      <w:r>
        <w:rPr>
          <w:rFonts w:hint="eastAsia" w:ascii="Times New Roman" w:hAnsi="Times New Roman" w:eastAsia="仿宋_GB2312" w:cs="Times New Roman"/>
          <w:color w:val="auto"/>
          <w:sz w:val="32"/>
          <w:szCs w:val="32"/>
          <w:highlight w:val="none"/>
          <w:lang w:eastAsia="zh-CN"/>
        </w:rPr>
        <w:t>，对于100%机制电量的新能源置零处理。</w:t>
      </w:r>
      <w:r>
        <w:rPr>
          <w:rFonts w:hint="eastAsia" w:cs="Times New Roman"/>
          <w:color w:val="auto"/>
          <w:sz w:val="32"/>
          <w:szCs w:val="32"/>
          <w:highlight w:val="none"/>
          <w:lang w:val="en-US" w:eastAsia="zh-CN"/>
        </w:rPr>
        <w:t>近三年该类型机组同期月份平均发电利用小时数由调度机构在每年11月底前提供。</w:t>
      </w:r>
      <w:r>
        <w:rPr>
          <w:rFonts w:hint="eastAsia" w:cs="Times New Roman"/>
          <w:color w:val="auto"/>
          <w:sz w:val="32"/>
          <w:szCs w:val="32"/>
          <w:highlight w:val="none"/>
          <w:lang w:val="en-US" w:eastAsia="zh-CN"/>
        </w:rPr>
        <w:t>如在年度交易前，仍未组织明确机制电量比例，新能源项目的机制电量比例按照</w:t>
      </w:r>
      <w:r>
        <w:rPr>
          <w:rFonts w:hint="eastAsia" w:eastAsia="仿宋_GB2312" w:cs="Times New Roman"/>
          <w:sz w:val="32"/>
          <w:szCs w:val="32"/>
          <w:highlight w:val="none"/>
          <w:u w:val="none"/>
          <w:lang w:val="en-US" w:eastAsia="zh-CN"/>
        </w:rPr>
        <w:t>《贵州省深化新能源上网电价市场化改革</w:t>
      </w:r>
      <w:r>
        <w:rPr>
          <w:rFonts w:hint="eastAsia" w:cs="Times New Roman"/>
          <w:sz w:val="32"/>
          <w:szCs w:val="32"/>
          <w:highlight w:val="none"/>
          <w:u w:val="none"/>
          <w:lang w:val="en-US" w:eastAsia="zh-CN"/>
        </w:rPr>
        <w:t>实施方案》中关于存量项目和增量项目的电量规模要求确定。</w:t>
      </w:r>
    </w:p>
    <w:p w14:paraId="754469C2">
      <w:pPr>
        <w:widowControl/>
        <w:numPr>
          <w:ilvl w:val="0"/>
          <w:numId w:val="2"/>
        </w:numPr>
        <w:spacing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新能源电量参与跨省优先发电计划</w:t>
      </w:r>
    </w:p>
    <w:p w14:paraId="151A8EDD">
      <w:pPr>
        <w:spacing w:line="600" w:lineRule="exact"/>
        <w:ind w:firstLine="640" w:firstLineChars="200"/>
        <w:rPr>
          <w:rFonts w:hint="default" w:eastAsia="仿宋_GB2312"/>
          <w:highlight w:val="none"/>
          <w:lang w:val="en-US" w:eastAsia="zh-CN"/>
        </w:rPr>
      </w:pPr>
      <w:r>
        <w:rPr>
          <w:rFonts w:hint="eastAsia"/>
          <w:highlight w:val="none"/>
          <w:lang w:val="en-US" w:eastAsia="zh-CN"/>
        </w:rPr>
        <w:t>（1）已参与市场化交易的新能源电量参与跨省优先发电计划电量安排，根据跨省优先发电计划电量中新能源所承担比例折算的新能源企业年度和月度总电量计划</w:t>
      </w:r>
      <w:r>
        <w:rPr>
          <w:rFonts w:hint="eastAsia"/>
          <w:highlight w:val="none"/>
          <w:lang w:eastAsia="zh-CN"/>
        </w:rPr>
        <w:t>，</w:t>
      </w:r>
      <w:r>
        <w:rPr>
          <w:rFonts w:hint="eastAsia"/>
          <w:highlight w:val="none"/>
          <w:lang w:val="en-US" w:eastAsia="zh-CN"/>
        </w:rPr>
        <w:t>按照</w:t>
      </w:r>
      <w:r>
        <w:rPr>
          <w:rFonts w:hint="eastAsia" w:ascii="Times New Roman" w:hAnsi="Times New Roman" w:eastAsia="仿宋_GB2312" w:cs="Times New Roman"/>
          <w:color w:val="auto"/>
          <w:sz w:val="32"/>
          <w:szCs w:val="32"/>
          <w:highlight w:val="none"/>
          <w:lang w:eastAsia="zh-CN"/>
        </w:rPr>
        <w:t>新能源</w:t>
      </w:r>
      <w:r>
        <w:rPr>
          <w:rFonts w:hint="eastAsia" w:cs="Times New Roman"/>
          <w:color w:val="auto"/>
          <w:sz w:val="32"/>
          <w:szCs w:val="32"/>
          <w:highlight w:val="none"/>
          <w:lang w:val="en-US" w:eastAsia="zh-CN"/>
        </w:rPr>
        <w:t>发电企业</w:t>
      </w:r>
      <w:r>
        <w:rPr>
          <w:rFonts w:hint="eastAsia" w:ascii="Times New Roman" w:hAnsi="Times New Roman" w:eastAsia="仿宋_GB2312" w:cs="Times New Roman"/>
          <w:color w:val="auto"/>
          <w:sz w:val="32"/>
          <w:szCs w:val="32"/>
          <w:highlight w:val="none"/>
          <w:lang w:eastAsia="zh-CN"/>
        </w:rPr>
        <w:t>中长期</w:t>
      </w:r>
      <w:r>
        <w:rPr>
          <w:rFonts w:hint="eastAsia" w:cs="Times New Roman"/>
          <w:color w:val="auto"/>
          <w:sz w:val="32"/>
          <w:szCs w:val="32"/>
          <w:highlight w:val="none"/>
          <w:lang w:val="en-US" w:eastAsia="zh-CN"/>
        </w:rPr>
        <w:t>年度</w:t>
      </w:r>
      <w:r>
        <w:rPr>
          <w:rFonts w:hint="eastAsia" w:ascii="Times New Roman" w:hAnsi="Times New Roman" w:eastAsia="仿宋_GB2312" w:cs="Times New Roman"/>
          <w:color w:val="auto"/>
          <w:sz w:val="32"/>
          <w:szCs w:val="32"/>
          <w:highlight w:val="none"/>
          <w:lang w:eastAsia="zh-CN"/>
        </w:rPr>
        <w:t>净合约电量</w:t>
      </w:r>
      <w:r>
        <w:rPr>
          <w:rFonts w:hint="eastAsia" w:cs="Times New Roman"/>
          <w:color w:val="auto"/>
          <w:sz w:val="32"/>
          <w:szCs w:val="32"/>
          <w:highlight w:val="none"/>
          <w:lang w:val="en-US" w:eastAsia="zh-CN"/>
        </w:rPr>
        <w:t>上限</w:t>
      </w:r>
      <w:r>
        <w:rPr>
          <w:rFonts w:hint="eastAsia"/>
          <w:highlight w:val="none"/>
        </w:rPr>
        <w:t>比例分解</w:t>
      </w:r>
      <w:r>
        <w:rPr>
          <w:rFonts w:hint="eastAsia"/>
          <w:highlight w:val="none"/>
          <w:lang w:val="en-US" w:eastAsia="zh-CN"/>
        </w:rPr>
        <w:t>至各新能源企业，形成各新能源企业年度和月度电量计划。</w:t>
      </w:r>
    </w:p>
    <w:p w14:paraId="7713F5BF">
      <w:pPr>
        <w:widowControl/>
        <w:spacing w:line="600" w:lineRule="exact"/>
        <w:ind w:firstLine="640" w:firstLineChars="200"/>
        <w:jc w:val="both"/>
        <w:rPr>
          <w:rFonts w:hint="default" w:eastAsia="楷体_GB2312"/>
          <w:highlight w:val="none"/>
          <w:lang w:val="en-US" w:eastAsia="zh-CN"/>
        </w:rPr>
      </w:pPr>
      <w:r>
        <w:rPr>
          <w:rFonts w:hint="eastAsia"/>
          <w:highlight w:val="none"/>
          <w:lang w:val="en-US" w:eastAsia="zh-CN"/>
        </w:rPr>
        <w:t>（2）</w:t>
      </w:r>
      <w:r>
        <w:rPr>
          <w:rFonts w:hint="eastAsia" w:ascii="Times New Roman" w:hAnsi="Times New Roman" w:cs="Times New Roman"/>
          <w:highlight w:val="none"/>
          <w:lang w:val="en-US" w:eastAsia="zh-CN"/>
        </w:rPr>
        <w:t>现货市场运行期间，贵州电力交易中心在D-2日前，将广州电力交易中心提供的D日贵州送广东“网对网”跨省优先发电计划小时电量，按以下方法分解到具体电厂：织金电厂织金送深电量按照广州电力交易中心月度交易计划中毕节送深电量进行日均分解，再按D日贵州送广东“网对网”跨省优先发电计划小时电量曲线分解；其余发电企业根据D日贵州送广东 “ 网对网”跨省优先发电计划小时电量扣减织金送深小时电量 后，按承接“网对网”跨省优先发电计划比例分解到发电企业，燃煤发电企业再按照容量比例分解到机组，新能源发电企业按照容量比例分解到项目，并推送至各发电企业。D-1日10:30前，各</w:t>
      </w:r>
      <w:r>
        <w:rPr>
          <w:rFonts w:hint="eastAsia" w:cs="Times New Roman"/>
          <w:highlight w:val="none"/>
          <w:lang w:val="en-US" w:eastAsia="zh-CN"/>
        </w:rPr>
        <w:t>燃煤</w:t>
      </w:r>
      <w:r>
        <w:rPr>
          <w:rFonts w:hint="eastAsia" w:ascii="Times New Roman" w:hAnsi="Times New Roman" w:cs="Times New Roman"/>
          <w:highlight w:val="none"/>
          <w:lang w:val="en-US" w:eastAsia="zh-CN"/>
        </w:rPr>
        <w:t>发电厂</w:t>
      </w:r>
      <w:r>
        <w:rPr>
          <w:rFonts w:hint="eastAsia" w:cs="Times New Roman"/>
          <w:highlight w:val="none"/>
          <w:lang w:val="en-US" w:eastAsia="zh-CN"/>
        </w:rPr>
        <w:t>间或各新能源发电企业间可</w:t>
      </w:r>
      <w:r>
        <w:rPr>
          <w:rFonts w:hint="eastAsia" w:ascii="Times New Roman" w:hAnsi="Times New Roman" w:cs="Times New Roman"/>
          <w:highlight w:val="none"/>
          <w:lang w:val="en-US" w:eastAsia="zh-CN"/>
        </w:rPr>
        <w:t>调整并确认各机组</w:t>
      </w:r>
      <w:r>
        <w:rPr>
          <w:rFonts w:hint="eastAsia" w:cs="Times New Roman"/>
          <w:highlight w:val="none"/>
          <w:lang w:val="en-US" w:eastAsia="zh-CN"/>
        </w:rPr>
        <w:t>或项目</w:t>
      </w:r>
      <w:r>
        <w:rPr>
          <w:rFonts w:hint="eastAsia" w:ascii="Times New Roman" w:hAnsi="Times New Roman" w:cs="Times New Roman"/>
          <w:highlight w:val="none"/>
          <w:lang w:val="en-US" w:eastAsia="zh-CN"/>
        </w:rPr>
        <w:t>跨省优先发电计划电量，逾期未调整确认的，默认采用上述分解结果。</w:t>
      </w:r>
      <w:r>
        <w:rPr>
          <w:rFonts w:hint="eastAsia" w:cs="Times New Roman"/>
          <w:highlight w:val="none"/>
          <w:lang w:val="en-US" w:eastAsia="zh-CN"/>
        </w:rPr>
        <w:t>燃煤发电厂和新能源发电企业间不允许进行调整。</w:t>
      </w:r>
    </w:p>
    <w:p w14:paraId="1623753C">
      <w:pPr>
        <w:numPr>
          <w:ilvl w:val="0"/>
          <w:numId w:val="0"/>
        </w:numPr>
        <w:spacing w:line="560" w:lineRule="exact"/>
        <w:ind w:firstLine="640" w:firstLineChars="200"/>
        <w:jc w:val="left"/>
        <w:outlineLvl w:val="0"/>
        <w:rPr>
          <w:rFonts w:hint="default" w:ascii="Times New Roman" w:hAnsi="Times New Roman" w:cs="Times New Roman"/>
          <w:color w:val="auto"/>
          <w:spacing w:val="0"/>
          <w:w w:val="100"/>
          <w:sz w:val="32"/>
          <w:szCs w:val="32"/>
          <w:highlight w:val="none"/>
          <w:lang w:val="en-US" w:eastAsia="zh-CN"/>
        </w:rPr>
      </w:pPr>
      <w:r>
        <w:rPr>
          <w:rFonts w:hint="eastAsia" w:ascii="Times New Roman" w:hAnsi="Times New Roman" w:cs="Times New Roman"/>
          <w:color w:val="auto"/>
          <w:spacing w:val="0"/>
          <w:w w:val="100"/>
          <w:sz w:val="32"/>
          <w:szCs w:val="32"/>
          <w:highlight w:val="none"/>
          <w:lang w:val="en-US" w:eastAsia="zh-CN"/>
        </w:rPr>
        <w:t>3. 新能源现货</w:t>
      </w:r>
      <w:r>
        <w:rPr>
          <w:rFonts w:hint="eastAsia" w:cs="Times New Roman"/>
          <w:color w:val="auto"/>
          <w:spacing w:val="0"/>
          <w:w w:val="100"/>
          <w:sz w:val="32"/>
          <w:szCs w:val="32"/>
          <w:highlight w:val="none"/>
          <w:lang w:val="en-US" w:eastAsia="zh-CN"/>
        </w:rPr>
        <w:t>现货</w:t>
      </w:r>
      <w:r>
        <w:rPr>
          <w:rFonts w:hint="eastAsia" w:ascii="Times New Roman" w:hAnsi="Times New Roman" w:cs="Times New Roman"/>
          <w:color w:val="auto"/>
          <w:spacing w:val="0"/>
          <w:w w:val="100"/>
          <w:sz w:val="32"/>
          <w:szCs w:val="32"/>
          <w:highlight w:val="none"/>
          <w:lang w:val="en-US" w:eastAsia="zh-CN"/>
        </w:rPr>
        <w:t>申报要求</w:t>
      </w:r>
    </w:p>
    <w:p w14:paraId="66C02265">
      <w:pPr>
        <w:widowControl/>
        <w:numPr>
          <w:ilvl w:val="0"/>
          <w:numId w:val="0"/>
        </w:numPr>
        <w:spacing w:line="560" w:lineRule="exact"/>
        <w:ind w:firstLine="640" w:firstLineChars="200"/>
        <w:jc w:val="left"/>
        <w:outlineLvl w:val="0"/>
        <w:rPr>
          <w:rFonts w:hint="eastAsia" w:eastAsia="黑体" w:cs="Times New Roman"/>
          <w:b w:val="0"/>
          <w:bCs w:val="0"/>
          <w:color w:val="auto"/>
          <w:sz w:val="32"/>
          <w:szCs w:val="32"/>
          <w:highlight w:val="none"/>
          <w:lang w:val="en-US" w:eastAsia="zh-CN"/>
        </w:rPr>
      </w:pPr>
      <w:r>
        <w:rPr>
          <w:rFonts w:hint="eastAsia" w:ascii="Times New Roman" w:hAnsi="Times New Roman" w:cs="Times New Roman"/>
          <w:color w:val="auto"/>
          <w:spacing w:val="0"/>
          <w:w w:val="100"/>
          <w:sz w:val="32"/>
          <w:szCs w:val="32"/>
          <w:highlight w:val="none"/>
          <w:lang w:val="en-US" w:eastAsia="zh-CN"/>
        </w:rPr>
        <w:t>现阶段，新能源场站以“报量报价”“报量不报价”“不报量不报价”三种方式参与现货市场。“报量报价”和“报量不报价”的新能源</w:t>
      </w:r>
      <w:r>
        <w:rPr>
          <w:rFonts w:hint="eastAsia" w:cs="Times New Roman"/>
          <w:color w:val="auto"/>
          <w:spacing w:val="0"/>
          <w:w w:val="100"/>
          <w:sz w:val="32"/>
          <w:szCs w:val="32"/>
          <w:highlight w:val="none"/>
          <w:lang w:val="en-US" w:eastAsia="zh-CN"/>
        </w:rPr>
        <w:t>项目</w:t>
      </w:r>
      <w:r>
        <w:rPr>
          <w:rFonts w:hint="eastAsia" w:ascii="Times New Roman" w:hAnsi="Times New Roman" w:cs="Times New Roman"/>
          <w:color w:val="auto"/>
          <w:spacing w:val="0"/>
          <w:w w:val="100"/>
          <w:sz w:val="32"/>
          <w:szCs w:val="32"/>
          <w:highlight w:val="none"/>
          <w:lang w:val="en-US" w:eastAsia="zh-CN"/>
        </w:rPr>
        <w:t>须</w:t>
      </w:r>
      <w:r>
        <w:rPr>
          <w:rFonts w:hint="eastAsia" w:cs="Times New Roman"/>
          <w:color w:val="auto"/>
          <w:spacing w:val="0"/>
          <w:w w:val="100"/>
          <w:sz w:val="32"/>
          <w:szCs w:val="32"/>
          <w:highlight w:val="none"/>
          <w:lang w:val="en-US" w:eastAsia="zh-CN"/>
        </w:rPr>
        <w:t>按月</w:t>
      </w:r>
      <w:r>
        <w:rPr>
          <w:rFonts w:hint="eastAsia" w:ascii="Times New Roman" w:hAnsi="Times New Roman" w:cs="Times New Roman"/>
          <w:color w:val="auto"/>
          <w:spacing w:val="0"/>
          <w:w w:val="100"/>
          <w:sz w:val="32"/>
          <w:szCs w:val="32"/>
          <w:highlight w:val="none"/>
          <w:lang w:val="en-US" w:eastAsia="zh-CN"/>
        </w:rPr>
        <w:t>选择是否参与日前现货市场。</w:t>
      </w:r>
    </w:p>
    <w:p w14:paraId="5F1BF1C5">
      <w:pPr>
        <w:widowControl/>
        <w:spacing w:line="600" w:lineRule="exact"/>
        <w:ind w:firstLine="640" w:firstLineChars="200"/>
        <w:jc w:val="left"/>
        <w:rPr>
          <w:rFonts w:hint="eastAsia" w:cs="Times New Roman"/>
          <w:color w:val="auto"/>
          <w:spacing w:val="0"/>
          <w:w w:val="100"/>
          <w:sz w:val="32"/>
          <w:szCs w:val="32"/>
          <w:highlight w:val="none"/>
          <w:lang w:val="en-US" w:eastAsia="zh-CN"/>
        </w:rPr>
      </w:pPr>
      <w:r>
        <w:rPr>
          <w:rFonts w:eastAsia="楷体_GB2312"/>
          <w:highlight w:val="none"/>
        </w:rPr>
        <w:t>（</w:t>
      </w:r>
      <w:r>
        <w:rPr>
          <w:rFonts w:hint="eastAsia" w:eastAsia="楷体_GB2312"/>
          <w:highlight w:val="none"/>
          <w:lang w:eastAsia="zh-CN"/>
        </w:rPr>
        <w:t>二</w:t>
      </w:r>
      <w:r>
        <w:rPr>
          <w:rFonts w:eastAsia="楷体_GB2312"/>
          <w:highlight w:val="none"/>
        </w:rPr>
        <w:t>）</w:t>
      </w:r>
      <w:r>
        <w:rPr>
          <w:rFonts w:hint="eastAsia" w:eastAsia="楷体_GB2312"/>
          <w:highlight w:val="none"/>
          <w:lang w:eastAsia="zh-CN"/>
        </w:rPr>
        <w:t>电力用户批零转换机制</w:t>
      </w:r>
    </w:p>
    <w:p w14:paraId="2616EDEB">
      <w:pPr>
        <w:spacing w:line="600" w:lineRule="exact"/>
        <w:ind w:firstLine="640" w:firstLineChars="200"/>
        <w:outlineLvl w:val="0"/>
        <w:rPr>
          <w:rFonts w:hint="eastAsia" w:cs="Times New Roman"/>
          <w:color w:val="auto"/>
          <w:spacing w:val="0"/>
          <w:w w:val="100"/>
          <w:sz w:val="32"/>
          <w:szCs w:val="32"/>
          <w:highlight w:val="none"/>
          <w:lang w:val="en-US" w:eastAsia="zh-CN"/>
        </w:rPr>
      </w:pPr>
      <w:r>
        <w:rPr>
          <w:rFonts w:hint="eastAsia" w:cs="Times New Roman"/>
          <w:color w:val="auto"/>
          <w:spacing w:val="0"/>
          <w:w w:val="100"/>
          <w:sz w:val="32"/>
          <w:szCs w:val="32"/>
          <w:highlight w:val="none"/>
          <w:lang w:val="en-US" w:eastAsia="zh-CN"/>
        </w:rPr>
        <w:t>电力用户全部电量可通过批发市场或零售市场购买，但不得同时参与批发市场和零售市场。电力用户默认为零售用户，未签订零售合同或零售合同在本季度末月内执行完毕的用户，可在上一季末月20日前选择参与批发市场，参与批发市场的电力用户需明确其开展电力中长期批发交易的起始月份和终止月份，并按要求开通批发交易起始月份首日作为运行日的区域市场现货申报权限，同步纳入中长期交易范围。对未及时取消本月区域市场现货申报权限的用户，在本月内继续参与现货交易，可同步参加月内多日中长期交易。</w:t>
      </w:r>
    </w:p>
    <w:p w14:paraId="6F07FE83">
      <w:pPr>
        <w:spacing w:line="600" w:lineRule="exact"/>
        <w:ind w:firstLine="640" w:firstLineChars="200"/>
        <w:jc w:val="both"/>
        <w:rPr>
          <w:highlight w:val="none"/>
        </w:rPr>
      </w:pPr>
      <w:r>
        <w:rPr>
          <w:rFonts w:hint="eastAsia" w:cs="Times New Roman"/>
          <w:color w:val="auto"/>
          <w:spacing w:val="0"/>
          <w:w w:val="100"/>
          <w:sz w:val="32"/>
          <w:szCs w:val="32"/>
          <w:highlight w:val="none"/>
          <w:lang w:val="en-US" w:eastAsia="zh-CN"/>
        </w:rPr>
        <w:t>未在规定时间内选择参与批发市场或已取消区域市场现货申报权限的用户作为零售用户，按季签订零售合同参与零售市场，未签订零售合同的用户纳入保底售电。零售用户在同一合同周期内仅可与一家售电公司确立零售服务关系，电力用户全部电量通过该售电公司购买。合同最小周期为月。</w:t>
      </w:r>
    </w:p>
    <w:p w14:paraId="6134ED78">
      <w:pPr>
        <w:spacing w:line="600" w:lineRule="exact"/>
        <w:ind w:firstLine="640" w:firstLineChars="200"/>
        <w:rPr>
          <w:rFonts w:hint="eastAsia" w:eastAsia="仿宋_GB2312"/>
          <w:highlight w:val="none"/>
          <w:lang w:eastAsia="zh-CN"/>
        </w:rPr>
      </w:pPr>
      <w:r>
        <w:rPr>
          <w:rFonts w:hint="eastAsia"/>
          <w:highlight w:val="none"/>
          <w:lang w:eastAsia="zh-CN"/>
        </w:rPr>
        <w:t>（三）偏差处理机制</w:t>
      </w:r>
    </w:p>
    <w:p w14:paraId="7D5C536F">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jc w:val="left"/>
        <w:textAlignment w:val="auto"/>
        <w:outlineLvl w:val="9"/>
        <w:rPr>
          <w:rFonts w:hint="eastAsia" w:eastAsia="黑体" w:cs="Times New Roman"/>
          <w:color w:val="auto"/>
          <w:sz w:val="32"/>
          <w:szCs w:val="32"/>
          <w:highlight w:val="none"/>
          <w:lang w:val="en-US" w:eastAsia="zh-CN"/>
        </w:rPr>
      </w:pPr>
      <w:r>
        <w:rPr>
          <w:rFonts w:hint="eastAsia"/>
          <w:highlight w:val="none"/>
          <w:lang w:val="en-US" w:eastAsia="zh-CN"/>
        </w:rPr>
        <w:t>非现货环境下，参与市场化交易的新能源企业，超发电量结算价格=发电侧下调服务电量加权均价×K1，K1为发电侧超发电量惩罚系数。当月系统未调用下调服务时，以月度集中竞价交易最低成交价（或者统一出清价）乘以K1结算超发电量；如未开展月度集中竞价或集中竞价电量占月度直接交易成交电量（不含电网代理购电量）比例低于20%（不含），以批发侧月度市场化直接交易签约加权均价乘以K1结算超发电量。</w:t>
      </w:r>
    </w:p>
    <w:p w14:paraId="55AB67FF">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color w:val="auto"/>
          <w:sz w:val="32"/>
          <w:szCs w:val="32"/>
          <w:highlight w:val="none"/>
          <w:lang w:val="en-US" w:eastAsia="zh-CN"/>
        </w:rPr>
      </w:pPr>
      <w:r>
        <w:rPr>
          <w:rFonts w:hint="eastAsia" w:eastAsia="黑体" w:cs="Times New Roman"/>
          <w:color w:val="auto"/>
          <w:sz w:val="32"/>
          <w:szCs w:val="32"/>
          <w:highlight w:val="none"/>
          <w:lang w:val="en-US" w:eastAsia="zh-CN"/>
        </w:rPr>
        <w:t>八、保障措施</w:t>
      </w:r>
    </w:p>
    <w:p w14:paraId="42DE53CE">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w:t>
      </w:r>
      <w:r>
        <w:rPr>
          <w:rFonts w:hint="eastAsia" w:cs="Times New Roman"/>
          <w:b/>
          <w:bCs/>
          <w:color w:val="auto"/>
          <w:sz w:val="32"/>
          <w:szCs w:val="32"/>
          <w:highlight w:val="none"/>
          <w:lang w:val="en-US" w:eastAsia="zh-CN"/>
        </w:rPr>
        <w:t>一</w:t>
      </w:r>
      <w:r>
        <w:rPr>
          <w:rFonts w:hint="eastAsia" w:ascii="Times New Roman" w:hAnsi="Times New Roman" w:eastAsia="仿宋_GB2312" w:cs="Times New Roman"/>
          <w:b/>
          <w:bCs/>
          <w:color w:val="auto"/>
          <w:sz w:val="32"/>
          <w:szCs w:val="32"/>
          <w:highlight w:val="none"/>
          <w:lang w:val="en-US" w:eastAsia="zh-CN"/>
        </w:rPr>
        <w:t>）</w:t>
      </w:r>
      <w:r>
        <w:rPr>
          <w:rFonts w:hint="eastAsia" w:cs="Times New Roman"/>
          <w:b/>
          <w:bCs/>
          <w:color w:val="auto"/>
          <w:sz w:val="32"/>
          <w:szCs w:val="32"/>
          <w:highlight w:val="none"/>
          <w:lang w:val="en-US" w:eastAsia="zh-CN"/>
        </w:rPr>
        <w:t>加强组织实施。</w:t>
      </w:r>
      <w:r>
        <w:rPr>
          <w:rFonts w:hint="eastAsia" w:ascii="Times New Roman" w:hAnsi="Times New Roman" w:cs="Times New Roman"/>
          <w:color w:val="auto"/>
          <w:spacing w:val="0"/>
          <w:w w:val="100"/>
          <w:sz w:val="32"/>
          <w:szCs w:val="32"/>
          <w:highlight w:val="none"/>
          <w:lang w:val="en-US" w:eastAsia="zh-CN"/>
        </w:rPr>
        <w:t>省能源局与有关部门、电网企业和市场运营机构等做好工作衔接，建立工作机制，指导市场化交易具体工作推进。协调解决工作推进中出现的相关问题，按照有关规定履行主管职责。</w:t>
      </w:r>
    </w:p>
    <w:p w14:paraId="4CA347DB">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cs="Times New Roman"/>
          <w:b/>
          <w:bCs/>
          <w:color w:val="auto"/>
          <w:sz w:val="32"/>
          <w:szCs w:val="32"/>
          <w:highlight w:val="none"/>
          <w:lang w:val="en-US" w:eastAsia="zh-CN"/>
        </w:rPr>
        <w:t>（二）强化宣传引导。</w:t>
      </w:r>
      <w:r>
        <w:rPr>
          <w:rFonts w:hint="eastAsia" w:cs="Times New Roman"/>
          <w:b w:val="0"/>
          <w:bCs w:val="0"/>
          <w:color w:val="auto"/>
          <w:sz w:val="32"/>
          <w:szCs w:val="32"/>
          <w:highlight w:val="none"/>
          <w:lang w:val="en-US" w:eastAsia="zh-CN"/>
        </w:rPr>
        <w:t>各市、县（市、区）电力市场化交易主管部门和电网企业要积极组织辖区内电力用户、发电企业参与电力市场交易，做好宣传和引导工作。市场运营机构要按照本方案要求，及时开展政策宣贯工作，组织做好贵州电力市场交易各项工作。</w:t>
      </w:r>
    </w:p>
    <w:p w14:paraId="6FA4375B">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（三）建立健全市场风险防控机制。</w:t>
      </w:r>
      <w:r>
        <w:rPr>
          <w:rFonts w:hint="eastAsia" w:cs="Times New Roman"/>
          <w:color w:val="auto"/>
          <w:sz w:val="32"/>
          <w:szCs w:val="32"/>
          <w:highlight w:val="none"/>
          <w:lang w:val="en-US" w:eastAsia="zh-CN"/>
        </w:rPr>
        <w:t>贵州</w:t>
      </w:r>
      <w:r>
        <w:rPr>
          <w:rFonts w:hint="eastAsia" w:ascii="Times New Roman" w:hAnsi="Times New Roman" w:eastAsia="仿宋_GB2312" w:cs="Times New Roman"/>
          <w:color w:val="auto"/>
          <w:sz w:val="32"/>
          <w:szCs w:val="32"/>
          <w:highlight w:val="none"/>
          <w:lang w:val="en-US" w:eastAsia="zh-CN"/>
        </w:rPr>
        <w:t>电力市场成员要强化风险意识，落实好防控措施，共同保障电力市场平稳运行和电力系统安全稳定运行。各经营主体要诚信经营、理性决策，</w:t>
      </w:r>
      <w:r>
        <w:rPr>
          <w:rFonts w:hint="eastAsia" w:cs="Times New Roman"/>
          <w:color w:val="auto"/>
          <w:sz w:val="32"/>
          <w:szCs w:val="32"/>
          <w:highlight w:val="none"/>
          <w:lang w:val="en-US" w:eastAsia="zh-CN"/>
        </w:rPr>
        <w:t>依法合规参与电力市场交易，</w:t>
      </w:r>
      <w:r>
        <w:rPr>
          <w:rFonts w:hint="eastAsia" w:ascii="Times New Roman" w:hAnsi="Times New Roman" w:eastAsia="仿宋_GB2312" w:cs="Times New Roman"/>
          <w:color w:val="auto"/>
          <w:sz w:val="32"/>
          <w:szCs w:val="32"/>
          <w:highlight w:val="none"/>
          <w:lang w:val="en-US" w:eastAsia="zh-CN"/>
        </w:rPr>
        <w:t>在合同签订时建立风险共担利益共享的机制，畅通价格传导。市场运营机构要加强市场风险警示，加强合同登记备案和结算管理，维护经营主体合法利益，对异常交易行为、价格的经营主体予以公开提醒。</w:t>
      </w:r>
    </w:p>
    <w:p w14:paraId="335F7C76">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eastAsia="黑体" w:cs="Times New Roman"/>
          <w:color w:val="auto"/>
          <w:sz w:val="32"/>
          <w:szCs w:val="32"/>
          <w:highlight w:val="none"/>
          <w:lang w:val="en-US" w:eastAsia="zh-CN"/>
        </w:rPr>
        <w:t>九、其他事宜</w:t>
      </w:r>
    </w:p>
    <w:p w14:paraId="2C694BE4">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本方案由省能源局</w:t>
      </w:r>
      <w:r>
        <w:rPr>
          <w:rFonts w:hint="eastAsia"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lang w:eastAsia="zh-CN"/>
        </w:rPr>
        <w:t>解释。</w:t>
      </w:r>
    </w:p>
    <w:p w14:paraId="18BD4BF9">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遇国家</w:t>
      </w:r>
      <w:r>
        <w:rPr>
          <w:rFonts w:hint="eastAsia"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省政策调整</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重大市场变化</w:t>
      </w:r>
      <w:r>
        <w:rPr>
          <w:rFonts w:hint="default" w:ascii="Times New Roman" w:hAnsi="Times New Roman" w:eastAsia="仿宋_GB2312" w:cs="Times New Roman"/>
          <w:color w:val="auto"/>
          <w:sz w:val="32"/>
          <w:szCs w:val="32"/>
          <w:highlight w:val="none"/>
          <w:lang w:eastAsia="zh-CN"/>
        </w:rPr>
        <w:t>，</w:t>
      </w:r>
      <w:r>
        <w:rPr>
          <w:rFonts w:hint="eastAsia"/>
          <w:color w:val="auto"/>
          <w:sz w:val="32"/>
          <w:szCs w:val="32"/>
          <w:highlight w:val="none"/>
          <w:lang w:val="en-US" w:eastAsia="zh-CN"/>
        </w:rPr>
        <w:t>按</w:t>
      </w:r>
      <w:r>
        <w:rPr>
          <w:rFonts w:hint="eastAsia" w:ascii="Times New Roman" w:hAnsi="Times New Roman" w:eastAsia="仿宋_GB2312"/>
          <w:color w:val="auto"/>
          <w:sz w:val="32"/>
          <w:szCs w:val="32"/>
          <w:highlight w:val="none"/>
          <w:lang w:val="en-US" w:eastAsia="zh-CN"/>
        </w:rPr>
        <w:t>最新政策规定</w:t>
      </w:r>
      <w:r>
        <w:rPr>
          <w:rFonts w:hint="eastAsia"/>
          <w:color w:val="auto"/>
          <w:sz w:val="32"/>
          <w:szCs w:val="32"/>
          <w:highlight w:val="none"/>
          <w:lang w:val="en-US" w:eastAsia="zh-CN"/>
        </w:rPr>
        <w:t>执行</w:t>
      </w:r>
      <w:r>
        <w:rPr>
          <w:rFonts w:ascii="Times New Roman" w:hAnsi="Times New Roman" w:eastAsia="仿宋_GB2312"/>
          <w:color w:val="auto"/>
          <w:sz w:val="32"/>
          <w:szCs w:val="32"/>
          <w:highlight w:val="none"/>
        </w:rPr>
        <w:t>。</w:t>
      </w:r>
    </w:p>
    <w:p w14:paraId="65D0DA80">
      <w:pPr>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br w:type="page"/>
      </w:r>
    </w:p>
    <w:p w14:paraId="0BB76D27">
      <w:pPr>
        <w:pStyle w:val="4"/>
        <w:spacing w:before="54"/>
        <w:ind w:left="326"/>
        <w:rPr>
          <w:highlight w:val="none"/>
        </w:rPr>
      </w:pPr>
      <w:r>
        <w:rPr>
          <w:highlight w:val="none"/>
        </w:rPr>
        <w:t>附录：</w:t>
      </w:r>
    </w:p>
    <w:p w14:paraId="65A5D98E">
      <w:pPr>
        <w:pStyle w:val="4"/>
        <w:spacing w:before="171" w:after="26"/>
        <w:ind w:left="1228"/>
        <w:jc w:val="center"/>
        <w:rPr>
          <w:rFonts w:hint="eastAsia" w:eastAsia="仿宋_GB2312"/>
          <w:highlight w:val="none"/>
          <w:lang w:val="en-US" w:eastAsia="zh-CN"/>
        </w:rPr>
      </w:pPr>
      <w:r>
        <w:rPr>
          <w:highlight w:val="none"/>
        </w:rPr>
        <w:t>贵州省内电力市场参数取值</w:t>
      </w:r>
      <w:r>
        <w:rPr>
          <w:rFonts w:hint="eastAsia"/>
          <w:highlight w:val="none"/>
          <w:lang w:eastAsia="zh-CN"/>
        </w:rPr>
        <w:t>设置</w:t>
      </w:r>
    </w:p>
    <w:tbl>
      <w:tblPr>
        <w:tblStyle w:val="11"/>
        <w:tblW w:w="8678"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5395"/>
        <w:gridCol w:w="1234"/>
        <w:gridCol w:w="1234"/>
      </w:tblGrid>
      <w:tr w14:paraId="19755E44">
        <w:tblPrEx>
          <w:tblLayout w:type="fixed"/>
        </w:tblPrEx>
        <w:trPr>
          <w:trHeight w:val="750" w:hRule="atLeast"/>
        </w:trPr>
        <w:tc>
          <w:tcPr>
            <w:tcW w:w="815" w:type="dxa"/>
          </w:tcPr>
          <w:p w14:paraId="0F24D7C1">
            <w:pPr>
              <w:pStyle w:val="18"/>
              <w:spacing w:before="197"/>
              <w:ind w:left="105" w:right="97"/>
              <w:rPr>
                <w:b/>
                <w:sz w:val="28"/>
                <w:highlight w:val="none"/>
              </w:rPr>
            </w:pPr>
            <w:r>
              <w:rPr>
                <w:b/>
                <w:sz w:val="28"/>
                <w:highlight w:val="none"/>
              </w:rPr>
              <w:t>序号</w:t>
            </w:r>
          </w:p>
        </w:tc>
        <w:tc>
          <w:tcPr>
            <w:tcW w:w="5395" w:type="dxa"/>
          </w:tcPr>
          <w:p w14:paraId="62CBF62E">
            <w:pPr>
              <w:pStyle w:val="18"/>
              <w:spacing w:before="197"/>
              <w:ind w:left="2254" w:right="2247"/>
              <w:rPr>
                <w:b/>
                <w:sz w:val="28"/>
                <w:highlight w:val="none"/>
              </w:rPr>
            </w:pPr>
            <w:r>
              <w:rPr>
                <w:b/>
                <w:sz w:val="28"/>
                <w:highlight w:val="none"/>
              </w:rPr>
              <w:t>参数名</w:t>
            </w:r>
          </w:p>
        </w:tc>
        <w:tc>
          <w:tcPr>
            <w:tcW w:w="1234" w:type="dxa"/>
          </w:tcPr>
          <w:p w14:paraId="5ADB2784">
            <w:pPr>
              <w:pStyle w:val="18"/>
              <w:spacing w:before="197"/>
              <w:ind w:left="300" w:right="294"/>
              <w:rPr>
                <w:b/>
                <w:sz w:val="28"/>
                <w:highlight w:val="none"/>
              </w:rPr>
            </w:pPr>
            <w:r>
              <w:rPr>
                <w:b/>
                <w:sz w:val="28"/>
                <w:highlight w:val="none"/>
              </w:rPr>
              <w:t>参数取值</w:t>
            </w:r>
          </w:p>
        </w:tc>
        <w:tc>
          <w:tcPr>
            <w:tcW w:w="1234" w:type="dxa"/>
          </w:tcPr>
          <w:p w14:paraId="4DF9CAB1">
            <w:pPr>
              <w:pStyle w:val="18"/>
              <w:spacing w:before="197"/>
              <w:ind w:left="300" w:right="294"/>
              <w:rPr>
                <w:rFonts w:hint="eastAsia" w:eastAsia="仿宋"/>
                <w:b/>
                <w:sz w:val="28"/>
                <w:highlight w:val="none"/>
                <w:lang w:eastAsia="zh-CN"/>
              </w:rPr>
            </w:pPr>
            <w:r>
              <w:rPr>
                <w:rFonts w:hint="eastAsia"/>
                <w:b/>
                <w:sz w:val="28"/>
                <w:highlight w:val="none"/>
                <w:lang w:eastAsia="zh-CN"/>
              </w:rPr>
              <w:t>备注</w:t>
            </w:r>
          </w:p>
        </w:tc>
      </w:tr>
      <w:tr w14:paraId="4AF6F9D8">
        <w:tblPrEx>
          <w:tblLayout w:type="fixed"/>
        </w:tblPrEx>
        <w:trPr>
          <w:trHeight w:val="675" w:hRule="atLeast"/>
        </w:trPr>
        <w:tc>
          <w:tcPr>
            <w:tcW w:w="815" w:type="dxa"/>
          </w:tcPr>
          <w:p w14:paraId="56BBCBE9">
            <w:pPr>
              <w:pStyle w:val="18"/>
              <w:spacing w:before="185"/>
              <w:ind w:left="8"/>
              <w:jc w:val="center"/>
              <w:rPr>
                <w:rFonts w:hint="eastAsia" w:eastAsia="仿宋"/>
                <w:sz w:val="24"/>
                <w:highlight w:val="none"/>
                <w:lang w:val="en-US" w:eastAsia="zh-CN"/>
              </w:rPr>
            </w:pPr>
            <w:r>
              <w:rPr>
                <w:rFonts w:hint="eastAsia"/>
                <w:sz w:val="24"/>
                <w:highlight w:val="none"/>
                <w:lang w:val="en-US" w:eastAsia="zh-CN"/>
              </w:rPr>
              <w:t>1</w:t>
            </w:r>
          </w:p>
        </w:tc>
        <w:tc>
          <w:tcPr>
            <w:tcW w:w="5395" w:type="dxa"/>
            <w:vAlign w:val="top"/>
          </w:tcPr>
          <w:p w14:paraId="6840A12E">
            <w:pPr>
              <w:pStyle w:val="18"/>
              <w:spacing w:before="185"/>
              <w:ind w:left="107" w:leftChars="0"/>
              <w:jc w:val="left"/>
              <w:rPr>
                <w:sz w:val="24"/>
                <w:highlight w:val="none"/>
              </w:rPr>
            </w:pPr>
            <w:r>
              <w:rPr>
                <w:sz w:val="24"/>
                <w:highlight w:val="none"/>
              </w:rPr>
              <w:t>发用电侧中长期偏差收益回收阈值u%</w:t>
            </w:r>
          </w:p>
        </w:tc>
        <w:tc>
          <w:tcPr>
            <w:tcW w:w="1234" w:type="dxa"/>
            <w:vAlign w:val="top"/>
          </w:tcPr>
          <w:p w14:paraId="066A53D4">
            <w:pPr>
              <w:pStyle w:val="18"/>
              <w:spacing w:before="185"/>
              <w:ind w:left="300" w:leftChars="0" w:right="294" w:rightChars="0"/>
              <w:jc w:val="center"/>
              <w:rPr>
                <w:sz w:val="24"/>
                <w:highlight w:val="none"/>
              </w:rPr>
            </w:pPr>
            <w:r>
              <w:rPr>
                <w:rFonts w:hint="eastAsia"/>
                <w:sz w:val="24"/>
                <w:highlight w:val="none"/>
                <w:lang w:val="en-US" w:eastAsia="zh-CN"/>
              </w:rPr>
              <w:t>85</w:t>
            </w:r>
            <w:r>
              <w:rPr>
                <w:sz w:val="24"/>
                <w:highlight w:val="none"/>
              </w:rPr>
              <w:t>%</w:t>
            </w:r>
          </w:p>
        </w:tc>
        <w:tc>
          <w:tcPr>
            <w:tcW w:w="1234" w:type="dxa"/>
          </w:tcPr>
          <w:p w14:paraId="11797488">
            <w:pPr>
              <w:pStyle w:val="18"/>
              <w:keepNext w:val="0"/>
              <w:keepLines w:val="0"/>
              <w:pageBreakBefore w:val="0"/>
              <w:widowControl w:val="0"/>
              <w:kinsoku/>
              <w:wordWrap/>
              <w:overflowPunct/>
              <w:topLinePunct w:val="0"/>
              <w:autoSpaceDE/>
              <w:autoSpaceDN/>
              <w:bidi w:val="0"/>
              <w:adjustRightInd/>
              <w:snapToGrid/>
              <w:spacing w:before="185"/>
              <w:ind w:left="0" w:right="0"/>
              <w:jc w:val="center"/>
              <w:textAlignment w:val="auto"/>
              <w:rPr>
                <w:rFonts w:hint="default"/>
                <w:sz w:val="24"/>
                <w:highlight w:val="none"/>
                <w:lang w:val="en-US" w:eastAsia="zh-CN"/>
              </w:rPr>
            </w:pPr>
            <w:r>
              <w:rPr>
                <w:rFonts w:hint="eastAsia"/>
                <w:sz w:val="24"/>
                <w:highlight w:val="none"/>
                <w:lang w:val="en-US" w:eastAsia="zh-CN"/>
              </w:rPr>
              <w:t>原值95%</w:t>
            </w:r>
          </w:p>
        </w:tc>
      </w:tr>
      <w:tr w14:paraId="66C183AE">
        <w:tblPrEx>
          <w:tblLayout w:type="fixed"/>
        </w:tblPrEx>
        <w:trPr>
          <w:trHeight w:val="725" w:hRule="atLeast"/>
        </w:trPr>
        <w:tc>
          <w:tcPr>
            <w:tcW w:w="815" w:type="dxa"/>
          </w:tcPr>
          <w:p w14:paraId="5C0B4B14">
            <w:pPr>
              <w:pStyle w:val="18"/>
              <w:spacing w:before="208"/>
              <w:ind w:left="8"/>
              <w:jc w:val="center"/>
              <w:rPr>
                <w:sz w:val="24"/>
                <w:highlight w:val="none"/>
              </w:rPr>
            </w:pPr>
            <w:r>
              <w:rPr>
                <w:sz w:val="24"/>
                <w:highlight w:val="none"/>
              </w:rPr>
              <w:t>2</w:t>
            </w:r>
          </w:p>
        </w:tc>
        <w:tc>
          <w:tcPr>
            <w:tcW w:w="5395" w:type="dxa"/>
            <w:vAlign w:val="top"/>
          </w:tcPr>
          <w:p w14:paraId="54EDB89A">
            <w:pPr>
              <w:pStyle w:val="18"/>
              <w:spacing w:before="208"/>
              <w:ind w:left="107" w:leftChars="0"/>
              <w:jc w:val="left"/>
              <w:rPr>
                <w:sz w:val="24"/>
                <w:highlight w:val="none"/>
              </w:rPr>
            </w:pPr>
            <w:r>
              <w:rPr>
                <w:sz w:val="24"/>
                <w:highlight w:val="none"/>
              </w:rPr>
              <w:t>发用电侧中长期偏差收益回收允许负偏差范围 v%</w:t>
            </w:r>
          </w:p>
        </w:tc>
        <w:tc>
          <w:tcPr>
            <w:tcW w:w="1234" w:type="dxa"/>
            <w:vAlign w:val="top"/>
          </w:tcPr>
          <w:p w14:paraId="38E26585">
            <w:pPr>
              <w:pStyle w:val="18"/>
              <w:spacing w:before="208"/>
              <w:ind w:left="300" w:leftChars="0" w:right="294" w:rightChars="0"/>
              <w:jc w:val="center"/>
              <w:rPr>
                <w:sz w:val="24"/>
                <w:highlight w:val="none"/>
              </w:rPr>
            </w:pPr>
            <w:r>
              <w:rPr>
                <w:sz w:val="24"/>
                <w:highlight w:val="none"/>
              </w:rPr>
              <w:t>5%</w:t>
            </w:r>
          </w:p>
        </w:tc>
        <w:tc>
          <w:tcPr>
            <w:tcW w:w="1234" w:type="dxa"/>
          </w:tcPr>
          <w:p w14:paraId="7B757C4A">
            <w:pPr>
              <w:pStyle w:val="18"/>
              <w:keepNext w:val="0"/>
              <w:keepLines w:val="0"/>
              <w:pageBreakBefore w:val="0"/>
              <w:widowControl w:val="0"/>
              <w:kinsoku/>
              <w:wordWrap/>
              <w:overflowPunct/>
              <w:topLinePunct w:val="0"/>
              <w:autoSpaceDE/>
              <w:autoSpaceDN/>
              <w:bidi w:val="0"/>
              <w:adjustRightInd/>
              <w:snapToGrid/>
              <w:spacing w:before="208"/>
              <w:ind w:left="0" w:right="0"/>
              <w:textAlignment w:val="auto"/>
              <w:rPr>
                <w:sz w:val="24"/>
                <w:highlight w:val="none"/>
              </w:rPr>
            </w:pPr>
          </w:p>
        </w:tc>
      </w:tr>
      <w:tr w14:paraId="7FC16AEE">
        <w:tblPrEx>
          <w:tblLayout w:type="fixed"/>
        </w:tblPrEx>
        <w:trPr>
          <w:trHeight w:val="556" w:hRule="atLeast"/>
        </w:trPr>
        <w:tc>
          <w:tcPr>
            <w:tcW w:w="815" w:type="dxa"/>
          </w:tcPr>
          <w:p w14:paraId="2D2A70F8">
            <w:pPr>
              <w:pStyle w:val="18"/>
              <w:spacing w:before="124"/>
              <w:ind w:left="8"/>
              <w:jc w:val="center"/>
              <w:rPr>
                <w:rFonts w:hint="eastAsia" w:eastAsia="仿宋"/>
                <w:sz w:val="24"/>
                <w:highlight w:val="none"/>
                <w:lang w:eastAsia="zh-CN"/>
              </w:rPr>
            </w:pPr>
            <w:r>
              <w:rPr>
                <w:rFonts w:hint="eastAsia"/>
                <w:sz w:val="24"/>
                <w:highlight w:val="none"/>
                <w:lang w:val="en-US" w:eastAsia="zh-CN"/>
              </w:rPr>
              <w:t>3</w:t>
            </w:r>
          </w:p>
        </w:tc>
        <w:tc>
          <w:tcPr>
            <w:tcW w:w="5395" w:type="dxa"/>
            <w:vAlign w:val="top"/>
          </w:tcPr>
          <w:p w14:paraId="67F6A8B9">
            <w:pPr>
              <w:pStyle w:val="18"/>
              <w:spacing w:before="0"/>
              <w:ind w:left="0"/>
              <w:jc w:val="left"/>
              <w:rPr>
                <w:rFonts w:ascii="仿宋_GB2312"/>
                <w:sz w:val="24"/>
                <w:highlight w:val="none"/>
              </w:rPr>
            </w:pPr>
          </w:p>
          <w:p w14:paraId="4EA5F2D9">
            <w:pPr>
              <w:pStyle w:val="18"/>
              <w:spacing w:before="166"/>
              <w:ind w:left="107" w:leftChars="0"/>
              <w:jc w:val="left"/>
              <w:rPr>
                <w:sz w:val="24"/>
                <w:highlight w:val="none"/>
              </w:rPr>
            </w:pPr>
            <w:r>
              <w:rPr>
                <w:sz w:val="24"/>
                <w:highlight w:val="none"/>
              </w:rPr>
              <w:t>燃煤机组连续最小开停机约束</w:t>
            </w:r>
          </w:p>
        </w:tc>
        <w:tc>
          <w:tcPr>
            <w:tcW w:w="1234" w:type="dxa"/>
            <w:vAlign w:val="top"/>
          </w:tcPr>
          <w:p w14:paraId="249788F7">
            <w:pPr>
              <w:pStyle w:val="18"/>
              <w:spacing w:before="162" w:line="242" w:lineRule="auto"/>
              <w:ind w:right="167"/>
              <w:jc w:val="both"/>
              <w:rPr>
                <w:sz w:val="24"/>
                <w:highlight w:val="none"/>
              </w:rPr>
            </w:pPr>
            <w:r>
              <w:rPr>
                <w:spacing w:val="-2"/>
                <w:sz w:val="24"/>
                <w:highlight w:val="none"/>
              </w:rPr>
              <w:t>连续最小开机时间约</w:t>
            </w:r>
            <w:r>
              <w:rPr>
                <w:spacing w:val="-15"/>
                <w:sz w:val="24"/>
                <w:highlight w:val="none"/>
              </w:rPr>
              <w:t xml:space="preserve">束设置 </w:t>
            </w:r>
            <w:r>
              <w:rPr>
                <w:sz w:val="24"/>
                <w:highlight w:val="none"/>
              </w:rPr>
              <w:t>5</w:t>
            </w:r>
            <w:r>
              <w:rPr>
                <w:spacing w:val="-13"/>
                <w:sz w:val="24"/>
                <w:highlight w:val="none"/>
              </w:rPr>
              <w:t xml:space="preserve"> 天、连续最</w:t>
            </w:r>
            <w:r>
              <w:rPr>
                <w:spacing w:val="-8"/>
                <w:sz w:val="24"/>
                <w:highlight w:val="none"/>
              </w:rPr>
              <w:t xml:space="preserve">小停机时间约束 </w:t>
            </w:r>
            <w:r>
              <w:rPr>
                <w:sz w:val="24"/>
                <w:highlight w:val="none"/>
              </w:rPr>
              <w:t>3</w:t>
            </w:r>
            <w:r>
              <w:rPr>
                <w:spacing w:val="-30"/>
                <w:sz w:val="24"/>
                <w:highlight w:val="none"/>
              </w:rPr>
              <w:t xml:space="preserve"> 天</w:t>
            </w:r>
          </w:p>
        </w:tc>
        <w:tc>
          <w:tcPr>
            <w:tcW w:w="1234" w:type="dxa"/>
          </w:tcPr>
          <w:p w14:paraId="70BCC9DB">
            <w:pPr>
              <w:pStyle w:val="18"/>
              <w:keepNext w:val="0"/>
              <w:keepLines w:val="0"/>
              <w:pageBreakBefore w:val="0"/>
              <w:widowControl w:val="0"/>
              <w:kinsoku/>
              <w:wordWrap/>
              <w:overflowPunct/>
              <w:topLinePunct w:val="0"/>
              <w:autoSpaceDE/>
              <w:autoSpaceDN/>
              <w:bidi w:val="0"/>
              <w:adjustRightInd/>
              <w:snapToGrid/>
              <w:spacing w:before="124"/>
              <w:ind w:left="0" w:right="0"/>
              <w:textAlignment w:val="auto"/>
              <w:rPr>
                <w:sz w:val="24"/>
                <w:highlight w:val="none"/>
              </w:rPr>
            </w:pPr>
          </w:p>
        </w:tc>
      </w:tr>
      <w:tr w14:paraId="3E5A29AE">
        <w:tblPrEx>
          <w:tblLayout w:type="fixed"/>
        </w:tblPrEx>
        <w:trPr>
          <w:trHeight w:val="463" w:hRule="atLeast"/>
        </w:trPr>
        <w:tc>
          <w:tcPr>
            <w:tcW w:w="815" w:type="dxa"/>
          </w:tcPr>
          <w:p w14:paraId="09DC697E">
            <w:pPr>
              <w:pStyle w:val="18"/>
              <w:spacing w:before="79"/>
              <w:ind w:right="97"/>
              <w:jc w:val="center"/>
              <w:rPr>
                <w:rFonts w:hint="eastAsia" w:eastAsia="仿宋"/>
                <w:sz w:val="24"/>
                <w:highlight w:val="none"/>
                <w:lang w:eastAsia="zh-CN"/>
              </w:rPr>
            </w:pPr>
            <w:r>
              <w:rPr>
                <w:rFonts w:hint="eastAsia"/>
                <w:sz w:val="24"/>
                <w:highlight w:val="none"/>
                <w:lang w:val="en-US" w:eastAsia="zh-CN"/>
              </w:rPr>
              <w:t>4</w:t>
            </w:r>
          </w:p>
        </w:tc>
        <w:tc>
          <w:tcPr>
            <w:tcW w:w="5395" w:type="dxa"/>
            <w:vAlign w:val="top"/>
          </w:tcPr>
          <w:p w14:paraId="645D134A">
            <w:pPr>
              <w:pStyle w:val="18"/>
              <w:spacing w:before="124"/>
              <w:ind w:left="107" w:leftChars="0"/>
              <w:jc w:val="left"/>
              <w:rPr>
                <w:sz w:val="24"/>
                <w:highlight w:val="none"/>
              </w:rPr>
            </w:pPr>
            <w:r>
              <w:rPr>
                <w:sz w:val="24"/>
                <w:highlight w:val="none"/>
              </w:rPr>
              <w:t>发用电侧中长期偏差收益回收系数 h</w:t>
            </w:r>
          </w:p>
        </w:tc>
        <w:tc>
          <w:tcPr>
            <w:tcW w:w="1234" w:type="dxa"/>
            <w:vAlign w:val="top"/>
          </w:tcPr>
          <w:p w14:paraId="7238E8BB">
            <w:pPr>
              <w:pStyle w:val="18"/>
              <w:spacing w:before="124"/>
              <w:ind w:left="6" w:leftChars="0"/>
              <w:jc w:val="center"/>
              <w:rPr>
                <w:rFonts w:hint="default" w:eastAsia="仿宋"/>
                <w:sz w:val="24"/>
                <w:highlight w:val="none"/>
                <w:lang w:val="en-US" w:eastAsia="zh-CN"/>
              </w:rPr>
            </w:pPr>
            <w:r>
              <w:rPr>
                <w:sz w:val="24"/>
                <w:highlight w:val="none"/>
              </w:rPr>
              <w:t>1</w:t>
            </w:r>
            <w:r>
              <w:rPr>
                <w:rFonts w:hint="eastAsia"/>
                <w:sz w:val="24"/>
                <w:highlight w:val="none"/>
                <w:lang w:val="en-US" w:eastAsia="zh-CN"/>
              </w:rPr>
              <w:t>.1</w:t>
            </w:r>
          </w:p>
        </w:tc>
        <w:tc>
          <w:tcPr>
            <w:tcW w:w="1234" w:type="dxa"/>
          </w:tcPr>
          <w:p w14:paraId="6A42776F">
            <w:pPr>
              <w:pStyle w:val="18"/>
              <w:keepNext w:val="0"/>
              <w:keepLines w:val="0"/>
              <w:pageBreakBefore w:val="0"/>
              <w:widowControl w:val="0"/>
              <w:kinsoku/>
              <w:wordWrap/>
              <w:overflowPunct/>
              <w:topLinePunct w:val="0"/>
              <w:autoSpaceDE/>
              <w:autoSpaceDN/>
              <w:bidi w:val="0"/>
              <w:adjustRightInd/>
              <w:snapToGrid/>
              <w:spacing w:before="79"/>
              <w:ind w:left="0" w:right="0"/>
              <w:textAlignment w:val="auto"/>
              <w:rPr>
                <w:rFonts w:hint="default"/>
                <w:sz w:val="24"/>
                <w:highlight w:val="none"/>
                <w:lang w:val="en-US" w:eastAsia="zh-CN"/>
              </w:rPr>
            </w:pPr>
            <w:r>
              <w:rPr>
                <w:rFonts w:hint="eastAsia"/>
                <w:sz w:val="24"/>
                <w:highlight w:val="none"/>
                <w:lang w:val="en-US" w:eastAsia="zh-CN"/>
              </w:rPr>
              <w:t>原值1</w:t>
            </w:r>
          </w:p>
        </w:tc>
      </w:tr>
      <w:tr w14:paraId="060AB09E">
        <w:tblPrEx>
          <w:tblLayout w:type="fixed"/>
        </w:tblPrEx>
        <w:trPr>
          <w:trHeight w:val="620" w:hRule="atLeast"/>
        </w:trPr>
        <w:tc>
          <w:tcPr>
            <w:tcW w:w="815" w:type="dxa"/>
          </w:tcPr>
          <w:p w14:paraId="5177E19E">
            <w:pPr>
              <w:pStyle w:val="18"/>
              <w:spacing w:before="157"/>
              <w:ind w:right="97"/>
              <w:jc w:val="center"/>
              <w:rPr>
                <w:rFonts w:hint="eastAsia" w:eastAsia="仿宋"/>
                <w:sz w:val="24"/>
                <w:highlight w:val="none"/>
                <w:lang w:eastAsia="zh-CN"/>
              </w:rPr>
            </w:pPr>
            <w:r>
              <w:rPr>
                <w:rFonts w:hint="eastAsia"/>
                <w:sz w:val="24"/>
                <w:highlight w:val="none"/>
                <w:lang w:val="en-US" w:eastAsia="zh-CN"/>
              </w:rPr>
              <w:t>5</w:t>
            </w:r>
          </w:p>
        </w:tc>
        <w:tc>
          <w:tcPr>
            <w:tcW w:w="5395" w:type="dxa"/>
            <w:vAlign w:val="top"/>
          </w:tcPr>
          <w:p w14:paraId="402CD1FE">
            <w:pPr>
              <w:pStyle w:val="18"/>
              <w:spacing w:before="110" w:line="359" w:lineRule="exact"/>
              <w:ind w:left="107" w:leftChars="0"/>
              <w:jc w:val="left"/>
              <w:rPr>
                <w:sz w:val="24"/>
                <w:highlight w:val="none"/>
              </w:rPr>
            </w:pPr>
            <w:r>
              <w:rPr>
                <w:sz w:val="24"/>
                <w:highlight w:val="none"/>
              </w:rPr>
              <w:t>用户侧日前市场申报电量允许偏差比例</w:t>
            </w:r>
            <w:r>
              <w:rPr>
                <w:rFonts w:ascii="Symbol" w:hAnsi="Symbol"/>
                <w:i/>
                <w:spacing w:val="-90"/>
                <w:w w:val="97"/>
                <w:position w:val="1"/>
                <w:sz w:val="26"/>
                <w:highlight w:val="none"/>
              </w:rPr>
              <w:t></w:t>
            </w:r>
            <w:r>
              <w:rPr>
                <w:rFonts w:ascii="Times New Roman" w:hAnsi="Times New Roman"/>
                <w:w w:val="104"/>
                <w:position w:val="-5"/>
                <w:sz w:val="14"/>
                <w:highlight w:val="none"/>
              </w:rPr>
              <w:t>0</w:t>
            </w:r>
          </w:p>
        </w:tc>
        <w:tc>
          <w:tcPr>
            <w:tcW w:w="1234" w:type="dxa"/>
            <w:vAlign w:val="top"/>
          </w:tcPr>
          <w:p w14:paraId="603BDD5D">
            <w:pPr>
              <w:pStyle w:val="18"/>
              <w:spacing w:before="90"/>
              <w:ind w:left="0" w:leftChars="0" w:right="294" w:rightChars="0" w:firstLine="0" w:firstLineChars="0"/>
              <w:jc w:val="center"/>
              <w:rPr>
                <w:sz w:val="24"/>
                <w:highlight w:val="none"/>
              </w:rPr>
            </w:pPr>
            <w:r>
              <w:rPr>
                <w:rFonts w:hint="eastAsia"/>
                <w:sz w:val="24"/>
                <w:highlight w:val="none"/>
                <w:lang w:val="en-US" w:eastAsia="zh-CN"/>
              </w:rPr>
              <w:t xml:space="preserve">  </w:t>
            </w:r>
            <w:r>
              <w:rPr>
                <w:sz w:val="24"/>
                <w:highlight w:val="none"/>
              </w:rPr>
              <w:t>0.2</w:t>
            </w:r>
          </w:p>
        </w:tc>
        <w:tc>
          <w:tcPr>
            <w:tcW w:w="1234" w:type="dxa"/>
          </w:tcPr>
          <w:p w14:paraId="0492CA6C">
            <w:pPr>
              <w:pStyle w:val="18"/>
              <w:keepNext w:val="0"/>
              <w:keepLines w:val="0"/>
              <w:pageBreakBefore w:val="0"/>
              <w:widowControl w:val="0"/>
              <w:kinsoku/>
              <w:wordWrap/>
              <w:overflowPunct/>
              <w:topLinePunct w:val="0"/>
              <w:autoSpaceDE/>
              <w:autoSpaceDN/>
              <w:bidi w:val="0"/>
              <w:adjustRightInd/>
              <w:snapToGrid/>
              <w:spacing w:before="157"/>
              <w:ind w:left="0" w:right="0"/>
              <w:textAlignment w:val="auto"/>
              <w:rPr>
                <w:rFonts w:hint="eastAsia"/>
                <w:sz w:val="24"/>
                <w:highlight w:val="none"/>
                <w:lang w:val="en-US" w:eastAsia="zh-CN"/>
              </w:rPr>
            </w:pPr>
          </w:p>
        </w:tc>
      </w:tr>
      <w:tr w14:paraId="4F7F2F0C">
        <w:tblPrEx>
          <w:tblLayout w:type="fixed"/>
        </w:tblPrEx>
        <w:trPr>
          <w:trHeight w:val="620" w:hRule="atLeast"/>
        </w:trPr>
        <w:tc>
          <w:tcPr>
            <w:tcW w:w="815" w:type="dxa"/>
            <w:vAlign w:val="top"/>
          </w:tcPr>
          <w:p w14:paraId="30E357B1">
            <w:pPr>
              <w:pStyle w:val="18"/>
              <w:ind w:left="0" w:leftChars="0" w:right="276" w:rightChars="0"/>
              <w:jc w:val="center"/>
              <w:rPr>
                <w:rFonts w:hint="default" w:eastAsia="仿宋"/>
                <w:sz w:val="24"/>
                <w:highlight w:val="none"/>
                <w:lang w:val="en-US" w:eastAsia="zh-CN"/>
              </w:rPr>
            </w:pPr>
            <w:r>
              <w:rPr>
                <w:rFonts w:hint="eastAsia"/>
                <w:sz w:val="24"/>
                <w:highlight w:val="none"/>
                <w:lang w:val="en-US" w:eastAsia="zh-CN"/>
              </w:rPr>
              <w:t xml:space="preserve">  6</w:t>
            </w:r>
          </w:p>
        </w:tc>
        <w:tc>
          <w:tcPr>
            <w:tcW w:w="5395" w:type="dxa"/>
            <w:vAlign w:val="top"/>
          </w:tcPr>
          <w:p w14:paraId="40D0E112">
            <w:pPr>
              <w:pStyle w:val="18"/>
              <w:spacing w:before="100" w:line="242" w:lineRule="auto"/>
              <w:ind w:left="107" w:leftChars="0" w:right="96" w:rightChars="0"/>
              <w:jc w:val="left"/>
              <w:rPr>
                <w:sz w:val="24"/>
                <w:highlight w:val="none"/>
              </w:rPr>
            </w:pPr>
            <w:r>
              <w:rPr>
                <w:spacing w:val="-12"/>
                <w:sz w:val="24"/>
                <w:highlight w:val="none"/>
              </w:rPr>
              <w:t>限高不补偿最低比例</w:t>
            </w:r>
            <w:r>
              <w:rPr>
                <w:sz w:val="24"/>
                <w:highlight w:val="none"/>
              </w:rPr>
              <w:t>（</w:t>
            </w:r>
            <w:r>
              <w:rPr>
                <w:spacing w:val="-2"/>
                <w:sz w:val="24"/>
                <w:highlight w:val="none"/>
              </w:rPr>
              <w:t>限高容量占机组额定容量比</w:t>
            </w:r>
            <w:r>
              <w:rPr>
                <w:sz w:val="24"/>
                <w:highlight w:val="none"/>
              </w:rPr>
              <w:t>例）</w:t>
            </w:r>
          </w:p>
        </w:tc>
        <w:tc>
          <w:tcPr>
            <w:tcW w:w="1234" w:type="dxa"/>
            <w:vAlign w:val="top"/>
          </w:tcPr>
          <w:p w14:paraId="7262F6C1">
            <w:pPr>
              <w:pStyle w:val="18"/>
              <w:spacing w:before="100" w:line="242" w:lineRule="auto"/>
              <w:ind w:right="133" w:rightChars="0"/>
              <w:jc w:val="both"/>
              <w:rPr>
                <w:rFonts w:hint="eastAsia"/>
                <w:sz w:val="24"/>
                <w:highlight w:val="none"/>
                <w:lang w:val="en-US" w:eastAsia="zh-CN"/>
              </w:rPr>
            </w:pPr>
            <w:r>
              <w:rPr>
                <w:sz w:val="24"/>
                <w:highlight w:val="none"/>
              </w:rPr>
              <w:t>10%(发布电力供应预警期间按0%)</w:t>
            </w:r>
          </w:p>
        </w:tc>
        <w:tc>
          <w:tcPr>
            <w:tcW w:w="1234" w:type="dxa"/>
            <w:vAlign w:val="top"/>
          </w:tcPr>
          <w:p w14:paraId="327DDF23">
            <w:pPr>
              <w:pStyle w:val="18"/>
              <w:keepNext w:val="0"/>
              <w:keepLines w:val="0"/>
              <w:pageBreakBefore w:val="0"/>
              <w:widowControl w:val="0"/>
              <w:kinsoku/>
              <w:wordWrap/>
              <w:overflowPunct/>
              <w:topLinePunct w:val="0"/>
              <w:autoSpaceDE/>
              <w:autoSpaceDN/>
              <w:bidi w:val="0"/>
              <w:adjustRightInd/>
              <w:snapToGrid/>
              <w:ind w:left="0" w:leftChars="0" w:right="0" w:rightChars="0"/>
              <w:textAlignment w:val="auto"/>
              <w:rPr>
                <w:sz w:val="24"/>
                <w:highlight w:val="none"/>
              </w:rPr>
            </w:pPr>
          </w:p>
        </w:tc>
      </w:tr>
      <w:tr w14:paraId="7925003D">
        <w:tblPrEx>
          <w:tblLayout w:type="fixed"/>
        </w:tblPrEx>
        <w:trPr>
          <w:trHeight w:val="620" w:hRule="atLeast"/>
        </w:trPr>
        <w:tc>
          <w:tcPr>
            <w:tcW w:w="815" w:type="dxa"/>
            <w:vAlign w:val="top"/>
          </w:tcPr>
          <w:p w14:paraId="344D6B3C">
            <w:pPr>
              <w:pStyle w:val="18"/>
              <w:spacing w:before="157"/>
              <w:ind w:left="0" w:leftChars="0" w:right="276" w:rightChars="0"/>
              <w:jc w:val="center"/>
              <w:rPr>
                <w:rFonts w:hint="eastAsia" w:eastAsia="仿宋"/>
                <w:sz w:val="24"/>
                <w:highlight w:val="none"/>
                <w:lang w:eastAsia="zh-CN"/>
              </w:rPr>
            </w:pPr>
            <w:r>
              <w:rPr>
                <w:rFonts w:hint="eastAsia"/>
                <w:sz w:val="24"/>
                <w:highlight w:val="none"/>
                <w:lang w:val="en-US" w:eastAsia="zh-CN"/>
              </w:rPr>
              <w:t xml:space="preserve">  7</w:t>
            </w:r>
          </w:p>
        </w:tc>
        <w:tc>
          <w:tcPr>
            <w:tcW w:w="5395" w:type="dxa"/>
            <w:vAlign w:val="top"/>
          </w:tcPr>
          <w:p w14:paraId="71284F1A">
            <w:pPr>
              <w:pStyle w:val="18"/>
              <w:spacing w:before="138"/>
              <w:ind w:left="107" w:leftChars="0"/>
              <w:jc w:val="left"/>
              <w:rPr>
                <w:sz w:val="24"/>
                <w:highlight w:val="none"/>
              </w:rPr>
            </w:pPr>
            <w:r>
              <w:rPr>
                <w:spacing w:val="-4"/>
                <w:sz w:val="24"/>
                <w:highlight w:val="none"/>
              </w:rPr>
              <w:t>运行补偿电费</w:t>
            </w:r>
            <w:r>
              <w:rPr>
                <w:spacing w:val="-3"/>
                <w:sz w:val="24"/>
                <w:highlight w:val="none"/>
              </w:rPr>
              <w:t>（</w:t>
            </w:r>
            <w:r>
              <w:rPr>
                <w:sz w:val="24"/>
                <w:highlight w:val="none"/>
              </w:rPr>
              <w:t>含启动补偿费用</w:t>
            </w:r>
            <w:r>
              <w:rPr>
                <w:spacing w:val="-20"/>
                <w:sz w:val="24"/>
                <w:highlight w:val="none"/>
              </w:rPr>
              <w:t>）</w:t>
            </w:r>
            <w:r>
              <w:rPr>
                <w:spacing w:val="-9"/>
                <w:sz w:val="24"/>
                <w:highlight w:val="none"/>
              </w:rPr>
              <w:t xml:space="preserve">度电分摊上限 </w:t>
            </w:r>
            <w:r>
              <w:rPr>
                <w:sz w:val="24"/>
                <w:highlight w:val="none"/>
              </w:rPr>
              <w:t>M</w:t>
            </w:r>
          </w:p>
        </w:tc>
        <w:tc>
          <w:tcPr>
            <w:tcW w:w="1234" w:type="dxa"/>
            <w:vAlign w:val="top"/>
          </w:tcPr>
          <w:p w14:paraId="7B2E4B0A">
            <w:pPr>
              <w:pStyle w:val="18"/>
              <w:spacing w:before="138"/>
              <w:jc w:val="both"/>
              <w:rPr>
                <w:rFonts w:hint="eastAsia"/>
                <w:sz w:val="24"/>
                <w:highlight w:val="none"/>
                <w:lang w:val="en-US" w:eastAsia="zh-CN"/>
              </w:rPr>
            </w:pPr>
            <w:r>
              <w:rPr>
                <w:sz w:val="24"/>
                <w:highlight w:val="none"/>
              </w:rPr>
              <w:t>0.2 分/千瓦时</w:t>
            </w:r>
          </w:p>
        </w:tc>
        <w:tc>
          <w:tcPr>
            <w:tcW w:w="1234" w:type="dxa"/>
            <w:vAlign w:val="top"/>
          </w:tcPr>
          <w:p w14:paraId="2274E16F">
            <w:pPr>
              <w:pStyle w:val="18"/>
              <w:keepNext w:val="0"/>
              <w:keepLines w:val="0"/>
              <w:pageBreakBefore w:val="0"/>
              <w:widowControl w:val="0"/>
              <w:kinsoku/>
              <w:wordWrap/>
              <w:overflowPunct/>
              <w:topLinePunct w:val="0"/>
              <w:autoSpaceDE/>
              <w:autoSpaceDN/>
              <w:bidi w:val="0"/>
              <w:adjustRightInd/>
              <w:snapToGrid/>
              <w:spacing w:before="157"/>
              <w:ind w:left="0" w:leftChars="0" w:right="0" w:rightChars="0"/>
              <w:jc w:val="right"/>
              <w:textAlignment w:val="auto"/>
              <w:rPr>
                <w:sz w:val="24"/>
                <w:highlight w:val="none"/>
              </w:rPr>
            </w:pPr>
          </w:p>
        </w:tc>
      </w:tr>
      <w:tr w14:paraId="00B7CCA2">
        <w:tblPrEx>
          <w:tblLayout w:type="fixed"/>
        </w:tblPrEx>
        <w:trPr>
          <w:trHeight w:val="620" w:hRule="atLeast"/>
        </w:trPr>
        <w:tc>
          <w:tcPr>
            <w:tcW w:w="815" w:type="dxa"/>
            <w:vAlign w:val="top"/>
          </w:tcPr>
          <w:p w14:paraId="43B7CC72">
            <w:pPr>
              <w:pStyle w:val="18"/>
              <w:ind w:left="0" w:leftChars="0" w:right="276" w:rightChars="0"/>
              <w:jc w:val="center"/>
              <w:rPr>
                <w:rFonts w:hint="eastAsia" w:eastAsia="仿宋"/>
                <w:sz w:val="24"/>
                <w:highlight w:val="none"/>
                <w:lang w:eastAsia="zh-CN"/>
              </w:rPr>
            </w:pPr>
            <w:r>
              <w:rPr>
                <w:rFonts w:hint="eastAsia"/>
                <w:sz w:val="24"/>
                <w:highlight w:val="none"/>
                <w:lang w:val="en-US" w:eastAsia="zh-CN"/>
              </w:rPr>
              <w:t xml:space="preserve">  8</w:t>
            </w:r>
          </w:p>
        </w:tc>
        <w:tc>
          <w:tcPr>
            <w:tcW w:w="5395" w:type="dxa"/>
            <w:vAlign w:val="top"/>
          </w:tcPr>
          <w:p w14:paraId="4BD0AB4F">
            <w:pPr>
              <w:pStyle w:val="18"/>
              <w:spacing w:before="138"/>
              <w:ind w:left="107" w:leftChars="0"/>
              <w:jc w:val="left"/>
              <w:rPr>
                <w:sz w:val="24"/>
                <w:highlight w:val="none"/>
              </w:rPr>
            </w:pPr>
            <w:r>
              <w:rPr>
                <w:sz w:val="24"/>
                <w:highlight w:val="none"/>
              </w:rPr>
              <w:t>机组限低考核系数α2</w:t>
            </w:r>
          </w:p>
        </w:tc>
        <w:tc>
          <w:tcPr>
            <w:tcW w:w="1234" w:type="dxa"/>
            <w:vAlign w:val="top"/>
          </w:tcPr>
          <w:p w14:paraId="44C93BA9">
            <w:pPr>
              <w:pStyle w:val="18"/>
              <w:spacing w:before="138"/>
              <w:ind w:left="300" w:leftChars="0" w:right="294" w:rightChars="0"/>
              <w:jc w:val="center"/>
              <w:rPr>
                <w:rFonts w:hint="eastAsia"/>
                <w:sz w:val="24"/>
                <w:highlight w:val="none"/>
                <w:lang w:val="en-US" w:eastAsia="zh-CN"/>
              </w:rPr>
            </w:pPr>
            <w:r>
              <w:rPr>
                <w:sz w:val="24"/>
                <w:highlight w:val="none"/>
              </w:rPr>
              <w:t>0.05</w:t>
            </w:r>
          </w:p>
        </w:tc>
        <w:tc>
          <w:tcPr>
            <w:tcW w:w="1234" w:type="dxa"/>
            <w:vAlign w:val="top"/>
          </w:tcPr>
          <w:p w14:paraId="62FA846D">
            <w:pPr>
              <w:pStyle w:val="18"/>
              <w:keepNext w:val="0"/>
              <w:keepLines w:val="0"/>
              <w:pageBreakBefore w:val="0"/>
              <w:widowControl w:val="0"/>
              <w:kinsoku/>
              <w:wordWrap/>
              <w:overflowPunct/>
              <w:topLinePunct w:val="0"/>
              <w:autoSpaceDE/>
              <w:autoSpaceDN/>
              <w:bidi w:val="0"/>
              <w:adjustRightInd/>
              <w:snapToGrid/>
              <w:ind w:left="0" w:leftChars="0" w:right="0" w:rightChars="0"/>
              <w:jc w:val="right"/>
              <w:textAlignment w:val="auto"/>
              <w:rPr>
                <w:sz w:val="24"/>
                <w:highlight w:val="none"/>
              </w:rPr>
            </w:pPr>
          </w:p>
        </w:tc>
      </w:tr>
      <w:tr w14:paraId="085D456F">
        <w:tblPrEx>
          <w:tblLayout w:type="fixed"/>
        </w:tblPrEx>
        <w:trPr>
          <w:trHeight w:val="620" w:hRule="atLeast"/>
        </w:trPr>
        <w:tc>
          <w:tcPr>
            <w:tcW w:w="815" w:type="dxa"/>
            <w:vAlign w:val="top"/>
          </w:tcPr>
          <w:p w14:paraId="4F091911">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9</w:t>
            </w:r>
          </w:p>
        </w:tc>
        <w:tc>
          <w:tcPr>
            <w:tcW w:w="5395" w:type="dxa"/>
            <w:vAlign w:val="top"/>
          </w:tcPr>
          <w:p w14:paraId="21B5D9AB">
            <w:pPr>
              <w:pStyle w:val="18"/>
              <w:spacing w:before="45" w:line="242" w:lineRule="auto"/>
              <w:ind w:left="107" w:leftChars="0" w:right="235" w:rightChars="0"/>
              <w:jc w:val="left"/>
              <w:rPr>
                <w:sz w:val="24"/>
                <w:highlight w:val="none"/>
              </w:rPr>
            </w:pPr>
            <w:r>
              <w:rPr>
                <w:sz w:val="24"/>
                <w:highlight w:val="none"/>
              </w:rPr>
              <w:t>同一自然月内同一电厂的发电机组发生限高与限低次数之和 N</w:t>
            </w:r>
          </w:p>
        </w:tc>
        <w:tc>
          <w:tcPr>
            <w:tcW w:w="1234" w:type="dxa"/>
            <w:vAlign w:val="top"/>
          </w:tcPr>
          <w:p w14:paraId="0D75E37E">
            <w:pPr>
              <w:pStyle w:val="18"/>
              <w:spacing w:before="201"/>
              <w:ind w:left="300" w:leftChars="0" w:right="294" w:rightChars="0"/>
              <w:jc w:val="center"/>
              <w:rPr>
                <w:sz w:val="24"/>
                <w:highlight w:val="none"/>
              </w:rPr>
            </w:pPr>
            <w:r>
              <w:rPr>
                <w:sz w:val="24"/>
                <w:highlight w:val="none"/>
              </w:rPr>
              <w:t>32</w:t>
            </w:r>
          </w:p>
        </w:tc>
        <w:tc>
          <w:tcPr>
            <w:tcW w:w="1234" w:type="dxa"/>
            <w:vAlign w:val="top"/>
          </w:tcPr>
          <w:p w14:paraId="09D7FD73">
            <w:pPr>
              <w:pStyle w:val="18"/>
              <w:keepNext w:val="0"/>
              <w:keepLines w:val="0"/>
              <w:pageBreakBefore w:val="0"/>
              <w:widowControl w:val="0"/>
              <w:kinsoku/>
              <w:wordWrap/>
              <w:overflowPunct/>
              <w:topLinePunct w:val="0"/>
              <w:autoSpaceDE/>
              <w:autoSpaceDN/>
              <w:bidi w:val="0"/>
              <w:adjustRightInd/>
              <w:snapToGrid/>
              <w:ind w:left="0" w:leftChars="0" w:right="0" w:rightChars="0"/>
              <w:jc w:val="right"/>
              <w:textAlignment w:val="auto"/>
              <w:rPr>
                <w:sz w:val="24"/>
                <w:highlight w:val="none"/>
              </w:rPr>
            </w:pPr>
          </w:p>
        </w:tc>
      </w:tr>
      <w:tr w14:paraId="1F3E8E2E">
        <w:tblPrEx>
          <w:tblLayout w:type="fixed"/>
        </w:tblPrEx>
        <w:trPr>
          <w:trHeight w:val="620" w:hRule="atLeast"/>
        </w:trPr>
        <w:tc>
          <w:tcPr>
            <w:tcW w:w="815" w:type="dxa"/>
            <w:vAlign w:val="top"/>
          </w:tcPr>
          <w:p w14:paraId="4930996B">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10</w:t>
            </w:r>
          </w:p>
        </w:tc>
        <w:tc>
          <w:tcPr>
            <w:tcW w:w="5395" w:type="dxa"/>
            <w:vAlign w:val="top"/>
          </w:tcPr>
          <w:p w14:paraId="65788705">
            <w:pPr>
              <w:pStyle w:val="18"/>
              <w:spacing w:before="139"/>
              <w:ind w:left="107" w:leftChars="0"/>
              <w:jc w:val="left"/>
              <w:rPr>
                <w:sz w:val="24"/>
                <w:highlight w:val="none"/>
              </w:rPr>
            </w:pPr>
            <w:r>
              <w:rPr>
                <w:sz w:val="24"/>
                <w:highlight w:val="none"/>
              </w:rPr>
              <w:t>二级价格限值持续时间阈值 L</w:t>
            </w:r>
          </w:p>
        </w:tc>
        <w:tc>
          <w:tcPr>
            <w:tcW w:w="1234" w:type="dxa"/>
            <w:vAlign w:val="top"/>
          </w:tcPr>
          <w:p w14:paraId="4E2962EB">
            <w:pPr>
              <w:pStyle w:val="18"/>
              <w:spacing w:before="139"/>
              <w:ind w:left="302" w:leftChars="0" w:right="294" w:rightChars="0"/>
              <w:jc w:val="center"/>
              <w:rPr>
                <w:sz w:val="24"/>
                <w:highlight w:val="none"/>
              </w:rPr>
            </w:pPr>
            <w:r>
              <w:rPr>
                <w:sz w:val="24"/>
                <w:highlight w:val="none"/>
              </w:rPr>
              <w:t>10 天</w:t>
            </w:r>
          </w:p>
        </w:tc>
        <w:tc>
          <w:tcPr>
            <w:tcW w:w="1234" w:type="dxa"/>
            <w:vAlign w:val="top"/>
          </w:tcPr>
          <w:p w14:paraId="6A1006DD">
            <w:pPr>
              <w:pStyle w:val="18"/>
              <w:keepNext w:val="0"/>
              <w:keepLines w:val="0"/>
              <w:pageBreakBefore w:val="0"/>
              <w:widowControl w:val="0"/>
              <w:kinsoku/>
              <w:wordWrap/>
              <w:overflowPunct/>
              <w:topLinePunct w:val="0"/>
              <w:autoSpaceDE/>
              <w:autoSpaceDN/>
              <w:bidi w:val="0"/>
              <w:adjustRightInd/>
              <w:snapToGrid/>
              <w:ind w:left="0" w:leftChars="0" w:right="0" w:rightChars="0"/>
              <w:jc w:val="right"/>
              <w:textAlignment w:val="auto"/>
              <w:rPr>
                <w:sz w:val="24"/>
                <w:highlight w:val="none"/>
              </w:rPr>
            </w:pPr>
          </w:p>
        </w:tc>
      </w:tr>
      <w:tr w14:paraId="5740B425">
        <w:tblPrEx>
          <w:tblLayout w:type="fixed"/>
        </w:tblPrEx>
        <w:trPr>
          <w:trHeight w:val="620" w:hRule="atLeast"/>
        </w:trPr>
        <w:tc>
          <w:tcPr>
            <w:tcW w:w="815" w:type="dxa"/>
            <w:vAlign w:val="top"/>
          </w:tcPr>
          <w:p w14:paraId="4A3B7898">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11</w:t>
            </w:r>
          </w:p>
        </w:tc>
        <w:tc>
          <w:tcPr>
            <w:tcW w:w="5395" w:type="dxa"/>
            <w:vAlign w:val="top"/>
          </w:tcPr>
          <w:p w14:paraId="4AE5FF23">
            <w:pPr>
              <w:pStyle w:val="18"/>
              <w:spacing w:before="99"/>
              <w:ind w:left="107" w:leftChars="0"/>
              <w:jc w:val="left"/>
              <w:rPr>
                <w:sz w:val="24"/>
                <w:highlight w:val="none"/>
              </w:rPr>
            </w:pPr>
            <w:r>
              <w:rPr>
                <w:sz w:val="24"/>
                <w:highlight w:val="none"/>
              </w:rPr>
              <w:t>二级价格限值</w:t>
            </w:r>
          </w:p>
        </w:tc>
        <w:tc>
          <w:tcPr>
            <w:tcW w:w="1234" w:type="dxa"/>
            <w:vAlign w:val="top"/>
          </w:tcPr>
          <w:p w14:paraId="72F89188">
            <w:pPr>
              <w:pStyle w:val="18"/>
              <w:spacing w:before="99"/>
              <w:ind w:left="0" w:leftChars="0" w:right="294" w:rightChars="0" w:firstLine="0" w:firstLineChars="0"/>
              <w:jc w:val="center"/>
              <w:rPr>
                <w:sz w:val="24"/>
                <w:highlight w:val="none"/>
              </w:rPr>
            </w:pPr>
            <w:r>
              <w:rPr>
                <w:sz w:val="24"/>
                <w:highlight w:val="none"/>
              </w:rPr>
              <w:t>0.695元/千瓦时</w:t>
            </w:r>
          </w:p>
        </w:tc>
        <w:tc>
          <w:tcPr>
            <w:tcW w:w="1234" w:type="dxa"/>
            <w:vAlign w:val="top"/>
          </w:tcPr>
          <w:p w14:paraId="04169BAC">
            <w:pPr>
              <w:pStyle w:val="18"/>
              <w:keepNext w:val="0"/>
              <w:keepLines w:val="0"/>
              <w:pageBreakBefore w:val="0"/>
              <w:widowControl w:val="0"/>
              <w:kinsoku/>
              <w:wordWrap/>
              <w:overflowPunct/>
              <w:topLinePunct w:val="0"/>
              <w:autoSpaceDE/>
              <w:autoSpaceDN/>
              <w:bidi w:val="0"/>
              <w:adjustRightInd/>
              <w:snapToGrid/>
              <w:ind w:left="0" w:leftChars="0" w:right="0" w:rightChars="0"/>
              <w:jc w:val="right"/>
              <w:textAlignment w:val="auto"/>
              <w:rPr>
                <w:sz w:val="24"/>
                <w:highlight w:val="none"/>
              </w:rPr>
            </w:pPr>
          </w:p>
        </w:tc>
      </w:tr>
      <w:tr w14:paraId="0C90E488">
        <w:tblPrEx>
          <w:tblLayout w:type="fixed"/>
        </w:tblPrEx>
        <w:trPr>
          <w:trHeight w:val="620" w:hRule="atLeast"/>
        </w:trPr>
        <w:tc>
          <w:tcPr>
            <w:tcW w:w="815" w:type="dxa"/>
            <w:vAlign w:val="top"/>
          </w:tcPr>
          <w:p w14:paraId="773CA700">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12</w:t>
            </w:r>
          </w:p>
        </w:tc>
        <w:tc>
          <w:tcPr>
            <w:tcW w:w="5395" w:type="dxa"/>
            <w:vAlign w:val="top"/>
          </w:tcPr>
          <w:p w14:paraId="3A4E9947">
            <w:pPr>
              <w:pStyle w:val="18"/>
              <w:spacing w:before="79"/>
              <w:ind w:left="107" w:leftChars="0"/>
              <w:jc w:val="left"/>
              <w:rPr>
                <w:sz w:val="24"/>
                <w:highlight w:val="none"/>
              </w:rPr>
            </w:pPr>
            <w:r>
              <w:rPr>
                <w:sz w:val="24"/>
                <w:highlight w:val="none"/>
              </w:rPr>
              <w:t>发用电侧现货收益调节 k1</w:t>
            </w:r>
          </w:p>
        </w:tc>
        <w:tc>
          <w:tcPr>
            <w:tcW w:w="1234" w:type="dxa"/>
            <w:vAlign w:val="top"/>
          </w:tcPr>
          <w:p w14:paraId="7476E9FA">
            <w:pPr>
              <w:pStyle w:val="18"/>
              <w:spacing w:before="79"/>
              <w:ind w:left="300" w:leftChars="0" w:right="294" w:rightChars="0"/>
              <w:jc w:val="center"/>
              <w:rPr>
                <w:sz w:val="24"/>
                <w:highlight w:val="none"/>
              </w:rPr>
            </w:pPr>
            <w:r>
              <w:rPr>
                <w:rFonts w:hint="eastAsia"/>
                <w:sz w:val="24"/>
                <w:highlight w:val="none"/>
                <w:lang w:val="en-US" w:eastAsia="zh-CN"/>
              </w:rPr>
              <w:t>15</w:t>
            </w:r>
            <w:r>
              <w:rPr>
                <w:sz w:val="24"/>
                <w:highlight w:val="none"/>
              </w:rPr>
              <w:t>%</w:t>
            </w:r>
          </w:p>
        </w:tc>
        <w:tc>
          <w:tcPr>
            <w:tcW w:w="1234" w:type="dxa"/>
            <w:vAlign w:val="center"/>
          </w:tcPr>
          <w:p w14:paraId="001F8096">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eastAsia="仿宋"/>
                <w:sz w:val="24"/>
                <w:highlight w:val="none"/>
                <w:lang w:val="en-US" w:eastAsia="zh-CN"/>
              </w:rPr>
            </w:pPr>
            <w:r>
              <w:rPr>
                <w:rFonts w:hint="eastAsia"/>
                <w:sz w:val="24"/>
                <w:highlight w:val="none"/>
                <w:lang w:val="en-US" w:eastAsia="zh-CN"/>
              </w:rPr>
              <w:t>原值3%</w:t>
            </w:r>
          </w:p>
        </w:tc>
      </w:tr>
      <w:tr w14:paraId="38795B6F">
        <w:tblPrEx>
          <w:tblLayout w:type="fixed"/>
        </w:tblPrEx>
        <w:trPr>
          <w:trHeight w:val="620" w:hRule="atLeast"/>
        </w:trPr>
        <w:tc>
          <w:tcPr>
            <w:tcW w:w="815" w:type="dxa"/>
            <w:vAlign w:val="top"/>
          </w:tcPr>
          <w:p w14:paraId="7F8611B6">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13</w:t>
            </w:r>
          </w:p>
        </w:tc>
        <w:tc>
          <w:tcPr>
            <w:tcW w:w="5395" w:type="dxa"/>
            <w:vAlign w:val="top"/>
          </w:tcPr>
          <w:p w14:paraId="57D538E7">
            <w:pPr>
              <w:pStyle w:val="18"/>
              <w:spacing w:before="157"/>
              <w:ind w:left="107" w:leftChars="0"/>
              <w:jc w:val="left"/>
              <w:rPr>
                <w:sz w:val="24"/>
                <w:highlight w:val="none"/>
              </w:rPr>
            </w:pPr>
            <w:r>
              <w:rPr>
                <w:sz w:val="24"/>
                <w:highlight w:val="none"/>
              </w:rPr>
              <w:t>新能源企业现货收益调节 k2</w:t>
            </w:r>
          </w:p>
        </w:tc>
        <w:tc>
          <w:tcPr>
            <w:tcW w:w="1234" w:type="dxa"/>
            <w:vAlign w:val="top"/>
          </w:tcPr>
          <w:p w14:paraId="347ABE65">
            <w:pPr>
              <w:pStyle w:val="18"/>
              <w:spacing w:before="157"/>
              <w:ind w:left="300" w:leftChars="0" w:right="294" w:rightChars="0"/>
              <w:jc w:val="center"/>
              <w:rPr>
                <w:sz w:val="24"/>
                <w:highlight w:val="none"/>
              </w:rPr>
            </w:pPr>
            <w:r>
              <w:rPr>
                <w:rFonts w:hint="eastAsia"/>
                <w:sz w:val="24"/>
                <w:highlight w:val="none"/>
                <w:lang w:val="en-US" w:eastAsia="zh-CN"/>
              </w:rPr>
              <w:t>100</w:t>
            </w:r>
            <w:r>
              <w:rPr>
                <w:sz w:val="24"/>
                <w:highlight w:val="none"/>
              </w:rPr>
              <w:t>%</w:t>
            </w:r>
          </w:p>
        </w:tc>
        <w:tc>
          <w:tcPr>
            <w:tcW w:w="1234" w:type="dxa"/>
            <w:vAlign w:val="center"/>
          </w:tcPr>
          <w:p w14:paraId="1184316D">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rFonts w:hint="default" w:eastAsia="仿宋"/>
                <w:sz w:val="24"/>
                <w:highlight w:val="none"/>
                <w:lang w:val="en-US" w:eastAsia="zh-CN"/>
              </w:rPr>
            </w:pPr>
            <w:r>
              <w:rPr>
                <w:rFonts w:hint="eastAsia"/>
                <w:sz w:val="24"/>
                <w:highlight w:val="none"/>
                <w:lang w:eastAsia="zh-CN"/>
              </w:rPr>
              <w:t>原值</w:t>
            </w:r>
            <w:r>
              <w:rPr>
                <w:rFonts w:hint="eastAsia"/>
                <w:sz w:val="24"/>
                <w:highlight w:val="none"/>
                <w:lang w:val="en-US" w:eastAsia="zh-CN"/>
              </w:rPr>
              <w:t>20%</w:t>
            </w:r>
          </w:p>
        </w:tc>
      </w:tr>
      <w:tr w14:paraId="10FDED8F">
        <w:tblPrEx>
          <w:tblLayout w:type="fixed"/>
        </w:tblPrEx>
        <w:trPr>
          <w:trHeight w:val="620" w:hRule="atLeast"/>
        </w:trPr>
        <w:tc>
          <w:tcPr>
            <w:tcW w:w="815" w:type="dxa"/>
            <w:vAlign w:val="top"/>
          </w:tcPr>
          <w:p w14:paraId="14E1B75E">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14</w:t>
            </w:r>
          </w:p>
        </w:tc>
        <w:tc>
          <w:tcPr>
            <w:tcW w:w="5395" w:type="dxa"/>
            <w:vAlign w:val="top"/>
          </w:tcPr>
          <w:p w14:paraId="1B87212F">
            <w:pPr>
              <w:pStyle w:val="18"/>
              <w:ind w:left="107" w:leftChars="0"/>
              <w:jc w:val="left"/>
              <w:rPr>
                <w:sz w:val="24"/>
                <w:highlight w:val="none"/>
              </w:rPr>
            </w:pPr>
            <w:r>
              <w:rPr>
                <w:spacing w:val="-7"/>
                <w:sz w:val="24"/>
                <w:highlight w:val="none"/>
              </w:rPr>
              <w:t>用户侧</w:t>
            </w:r>
            <w:r>
              <w:rPr>
                <w:spacing w:val="-3"/>
                <w:sz w:val="24"/>
                <w:highlight w:val="none"/>
              </w:rPr>
              <w:t>（</w:t>
            </w:r>
            <w:r>
              <w:rPr>
                <w:sz w:val="24"/>
                <w:highlight w:val="none"/>
              </w:rPr>
              <w:t>含电网代理购电</w:t>
            </w:r>
            <w:r>
              <w:rPr>
                <w:spacing w:val="-20"/>
                <w:sz w:val="24"/>
                <w:highlight w:val="none"/>
              </w:rPr>
              <w:t>）</w:t>
            </w:r>
            <w:r>
              <w:rPr>
                <w:spacing w:val="-7"/>
                <w:sz w:val="24"/>
                <w:highlight w:val="none"/>
              </w:rPr>
              <w:t xml:space="preserve">超用电量惩罚系数 </w:t>
            </w:r>
            <w:r>
              <w:rPr>
                <w:sz w:val="24"/>
                <w:highlight w:val="none"/>
              </w:rPr>
              <w:t>U11</w:t>
            </w:r>
          </w:p>
        </w:tc>
        <w:tc>
          <w:tcPr>
            <w:tcW w:w="1234" w:type="dxa"/>
            <w:vAlign w:val="top"/>
          </w:tcPr>
          <w:p w14:paraId="3600BFD3">
            <w:pPr>
              <w:pStyle w:val="18"/>
              <w:ind w:left="6" w:leftChars="0"/>
              <w:jc w:val="center"/>
              <w:rPr>
                <w:sz w:val="24"/>
                <w:highlight w:val="none"/>
              </w:rPr>
            </w:pPr>
            <w:r>
              <w:rPr>
                <w:sz w:val="24"/>
                <w:highlight w:val="none"/>
              </w:rPr>
              <w:t>1</w:t>
            </w:r>
          </w:p>
        </w:tc>
        <w:tc>
          <w:tcPr>
            <w:tcW w:w="1234" w:type="dxa"/>
            <w:vAlign w:val="top"/>
          </w:tcPr>
          <w:p w14:paraId="7B95BA70">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5AE8E1CA">
        <w:tblPrEx>
          <w:tblLayout w:type="fixed"/>
        </w:tblPrEx>
        <w:trPr>
          <w:trHeight w:val="620" w:hRule="atLeast"/>
        </w:trPr>
        <w:tc>
          <w:tcPr>
            <w:tcW w:w="815" w:type="dxa"/>
            <w:vAlign w:val="top"/>
          </w:tcPr>
          <w:p w14:paraId="0F5FF584">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15</w:t>
            </w:r>
          </w:p>
        </w:tc>
        <w:tc>
          <w:tcPr>
            <w:tcW w:w="5395" w:type="dxa"/>
            <w:vAlign w:val="top"/>
          </w:tcPr>
          <w:p w14:paraId="0C51833F">
            <w:pPr>
              <w:pStyle w:val="18"/>
              <w:spacing w:before="155"/>
              <w:ind w:left="107" w:leftChars="0"/>
              <w:jc w:val="left"/>
              <w:rPr>
                <w:sz w:val="24"/>
                <w:highlight w:val="none"/>
              </w:rPr>
            </w:pPr>
            <w:r>
              <w:rPr>
                <w:spacing w:val="-7"/>
                <w:sz w:val="24"/>
                <w:highlight w:val="none"/>
              </w:rPr>
              <w:t>用户侧</w:t>
            </w:r>
            <w:r>
              <w:rPr>
                <w:spacing w:val="-3"/>
                <w:sz w:val="24"/>
                <w:highlight w:val="none"/>
              </w:rPr>
              <w:t>（</w:t>
            </w:r>
            <w:r>
              <w:rPr>
                <w:sz w:val="24"/>
                <w:highlight w:val="none"/>
              </w:rPr>
              <w:t>含电网代理购电</w:t>
            </w:r>
            <w:r>
              <w:rPr>
                <w:spacing w:val="-20"/>
                <w:sz w:val="24"/>
                <w:highlight w:val="none"/>
              </w:rPr>
              <w:t>）</w:t>
            </w:r>
            <w:r>
              <w:rPr>
                <w:spacing w:val="-7"/>
                <w:sz w:val="24"/>
                <w:highlight w:val="none"/>
              </w:rPr>
              <w:t xml:space="preserve">超用电量惩罚系数 </w:t>
            </w:r>
            <w:r>
              <w:rPr>
                <w:sz w:val="24"/>
                <w:highlight w:val="none"/>
              </w:rPr>
              <w:t>U12</w:t>
            </w:r>
          </w:p>
        </w:tc>
        <w:tc>
          <w:tcPr>
            <w:tcW w:w="1234" w:type="dxa"/>
            <w:vAlign w:val="top"/>
          </w:tcPr>
          <w:p w14:paraId="1497D0C7">
            <w:pPr>
              <w:pStyle w:val="18"/>
              <w:spacing w:before="155"/>
              <w:ind w:left="300" w:leftChars="0" w:right="294" w:rightChars="0"/>
              <w:jc w:val="center"/>
              <w:rPr>
                <w:sz w:val="24"/>
                <w:highlight w:val="none"/>
              </w:rPr>
            </w:pPr>
            <w:r>
              <w:rPr>
                <w:sz w:val="24"/>
                <w:highlight w:val="none"/>
              </w:rPr>
              <w:t>1.02</w:t>
            </w:r>
          </w:p>
        </w:tc>
        <w:tc>
          <w:tcPr>
            <w:tcW w:w="1234" w:type="dxa"/>
            <w:vAlign w:val="top"/>
          </w:tcPr>
          <w:p w14:paraId="6E54374F">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389D030A">
        <w:tblPrEx>
          <w:tblLayout w:type="fixed"/>
        </w:tblPrEx>
        <w:trPr>
          <w:trHeight w:val="620" w:hRule="atLeast"/>
        </w:trPr>
        <w:tc>
          <w:tcPr>
            <w:tcW w:w="815" w:type="dxa"/>
            <w:vAlign w:val="top"/>
          </w:tcPr>
          <w:p w14:paraId="58655E14">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16</w:t>
            </w:r>
          </w:p>
        </w:tc>
        <w:tc>
          <w:tcPr>
            <w:tcW w:w="5395" w:type="dxa"/>
            <w:vAlign w:val="top"/>
          </w:tcPr>
          <w:p w14:paraId="7DF59F6A">
            <w:pPr>
              <w:pStyle w:val="18"/>
              <w:ind w:left="107" w:leftChars="0"/>
              <w:jc w:val="left"/>
              <w:rPr>
                <w:sz w:val="24"/>
                <w:highlight w:val="none"/>
              </w:rPr>
            </w:pPr>
            <w:r>
              <w:rPr>
                <w:spacing w:val="-7"/>
                <w:sz w:val="24"/>
                <w:highlight w:val="none"/>
              </w:rPr>
              <w:t>用户侧</w:t>
            </w:r>
            <w:r>
              <w:rPr>
                <w:spacing w:val="-3"/>
                <w:sz w:val="24"/>
                <w:highlight w:val="none"/>
              </w:rPr>
              <w:t>（</w:t>
            </w:r>
            <w:r>
              <w:rPr>
                <w:sz w:val="24"/>
                <w:highlight w:val="none"/>
              </w:rPr>
              <w:t>含电网代理购电</w:t>
            </w:r>
            <w:r>
              <w:rPr>
                <w:spacing w:val="-20"/>
                <w:sz w:val="24"/>
                <w:highlight w:val="none"/>
              </w:rPr>
              <w:t>）</w:t>
            </w:r>
            <w:r>
              <w:rPr>
                <w:spacing w:val="-7"/>
                <w:sz w:val="24"/>
                <w:highlight w:val="none"/>
              </w:rPr>
              <w:t xml:space="preserve">超用电量惩罚系数 </w:t>
            </w:r>
            <w:r>
              <w:rPr>
                <w:sz w:val="24"/>
                <w:highlight w:val="none"/>
              </w:rPr>
              <w:t>U13</w:t>
            </w:r>
          </w:p>
        </w:tc>
        <w:tc>
          <w:tcPr>
            <w:tcW w:w="1234" w:type="dxa"/>
            <w:vAlign w:val="top"/>
          </w:tcPr>
          <w:p w14:paraId="7FA2BDFB">
            <w:pPr>
              <w:pStyle w:val="18"/>
              <w:ind w:left="300" w:leftChars="0" w:right="294" w:rightChars="0"/>
              <w:jc w:val="center"/>
              <w:rPr>
                <w:sz w:val="24"/>
                <w:highlight w:val="none"/>
              </w:rPr>
            </w:pPr>
            <w:r>
              <w:rPr>
                <w:sz w:val="24"/>
                <w:highlight w:val="none"/>
              </w:rPr>
              <w:t>1.02</w:t>
            </w:r>
          </w:p>
        </w:tc>
        <w:tc>
          <w:tcPr>
            <w:tcW w:w="1234" w:type="dxa"/>
            <w:vAlign w:val="top"/>
          </w:tcPr>
          <w:p w14:paraId="3A9ADA2A">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32665AD9">
        <w:tblPrEx>
          <w:tblLayout w:type="fixed"/>
        </w:tblPrEx>
        <w:trPr>
          <w:trHeight w:val="620" w:hRule="atLeast"/>
        </w:trPr>
        <w:tc>
          <w:tcPr>
            <w:tcW w:w="815" w:type="dxa"/>
            <w:vAlign w:val="top"/>
          </w:tcPr>
          <w:p w14:paraId="5A11C536">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17</w:t>
            </w:r>
          </w:p>
        </w:tc>
        <w:tc>
          <w:tcPr>
            <w:tcW w:w="5395" w:type="dxa"/>
            <w:vAlign w:val="top"/>
          </w:tcPr>
          <w:p w14:paraId="7650E1D7">
            <w:pPr>
              <w:pStyle w:val="18"/>
              <w:ind w:left="107" w:leftChars="0"/>
              <w:jc w:val="left"/>
              <w:rPr>
                <w:sz w:val="24"/>
                <w:highlight w:val="none"/>
              </w:rPr>
            </w:pPr>
            <w:r>
              <w:rPr>
                <w:spacing w:val="-7"/>
                <w:sz w:val="24"/>
                <w:highlight w:val="none"/>
              </w:rPr>
              <w:t>用户侧</w:t>
            </w:r>
            <w:r>
              <w:rPr>
                <w:spacing w:val="-3"/>
                <w:sz w:val="24"/>
                <w:highlight w:val="none"/>
              </w:rPr>
              <w:t>（</w:t>
            </w:r>
            <w:r>
              <w:rPr>
                <w:sz w:val="24"/>
                <w:highlight w:val="none"/>
              </w:rPr>
              <w:t>含电网代理购电</w:t>
            </w:r>
            <w:r>
              <w:rPr>
                <w:spacing w:val="-20"/>
                <w:sz w:val="24"/>
                <w:highlight w:val="none"/>
              </w:rPr>
              <w:t>）</w:t>
            </w:r>
            <w:r>
              <w:rPr>
                <w:spacing w:val="-7"/>
                <w:sz w:val="24"/>
                <w:highlight w:val="none"/>
              </w:rPr>
              <w:t xml:space="preserve">少用电量惩罚系数 </w:t>
            </w:r>
            <w:r>
              <w:rPr>
                <w:sz w:val="24"/>
                <w:highlight w:val="none"/>
              </w:rPr>
              <w:t>U21</w:t>
            </w:r>
          </w:p>
        </w:tc>
        <w:tc>
          <w:tcPr>
            <w:tcW w:w="1234" w:type="dxa"/>
            <w:vAlign w:val="top"/>
          </w:tcPr>
          <w:p w14:paraId="23F8D36C">
            <w:pPr>
              <w:pStyle w:val="18"/>
              <w:ind w:left="6" w:leftChars="0"/>
              <w:jc w:val="center"/>
              <w:rPr>
                <w:sz w:val="24"/>
                <w:highlight w:val="none"/>
              </w:rPr>
            </w:pPr>
            <w:r>
              <w:rPr>
                <w:rFonts w:hint="eastAsia"/>
                <w:sz w:val="24"/>
                <w:highlight w:val="none"/>
              </w:rPr>
              <w:t>1</w:t>
            </w:r>
          </w:p>
        </w:tc>
        <w:tc>
          <w:tcPr>
            <w:tcW w:w="1234" w:type="dxa"/>
            <w:vAlign w:val="top"/>
          </w:tcPr>
          <w:p w14:paraId="1A619859">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0CE2E1C2">
        <w:tblPrEx>
          <w:tblLayout w:type="fixed"/>
        </w:tblPrEx>
        <w:trPr>
          <w:trHeight w:val="620" w:hRule="atLeast"/>
        </w:trPr>
        <w:tc>
          <w:tcPr>
            <w:tcW w:w="815" w:type="dxa"/>
            <w:vAlign w:val="top"/>
          </w:tcPr>
          <w:p w14:paraId="4DB2CF46">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18</w:t>
            </w:r>
          </w:p>
        </w:tc>
        <w:tc>
          <w:tcPr>
            <w:tcW w:w="5395" w:type="dxa"/>
            <w:vAlign w:val="top"/>
          </w:tcPr>
          <w:p w14:paraId="03365D3B">
            <w:pPr>
              <w:pStyle w:val="18"/>
              <w:spacing w:before="155"/>
              <w:ind w:left="107" w:leftChars="0"/>
              <w:jc w:val="left"/>
              <w:rPr>
                <w:sz w:val="24"/>
                <w:highlight w:val="none"/>
              </w:rPr>
            </w:pPr>
            <w:r>
              <w:rPr>
                <w:spacing w:val="-7"/>
                <w:sz w:val="24"/>
                <w:highlight w:val="none"/>
              </w:rPr>
              <w:t>用户侧</w:t>
            </w:r>
            <w:r>
              <w:rPr>
                <w:spacing w:val="-3"/>
                <w:sz w:val="24"/>
                <w:highlight w:val="none"/>
              </w:rPr>
              <w:t>（</w:t>
            </w:r>
            <w:r>
              <w:rPr>
                <w:sz w:val="24"/>
                <w:highlight w:val="none"/>
              </w:rPr>
              <w:t>含电网代理购电</w:t>
            </w:r>
            <w:r>
              <w:rPr>
                <w:spacing w:val="-20"/>
                <w:sz w:val="24"/>
                <w:highlight w:val="none"/>
              </w:rPr>
              <w:t>）</w:t>
            </w:r>
            <w:r>
              <w:rPr>
                <w:spacing w:val="-7"/>
                <w:sz w:val="24"/>
                <w:highlight w:val="none"/>
              </w:rPr>
              <w:t xml:space="preserve">少用电量惩罚系数 </w:t>
            </w:r>
            <w:r>
              <w:rPr>
                <w:sz w:val="24"/>
                <w:highlight w:val="none"/>
              </w:rPr>
              <w:t>U22</w:t>
            </w:r>
          </w:p>
        </w:tc>
        <w:tc>
          <w:tcPr>
            <w:tcW w:w="1234" w:type="dxa"/>
            <w:vAlign w:val="top"/>
          </w:tcPr>
          <w:p w14:paraId="7885DD12">
            <w:pPr>
              <w:pStyle w:val="18"/>
              <w:ind w:left="6" w:leftChars="0"/>
              <w:jc w:val="center"/>
              <w:rPr>
                <w:sz w:val="24"/>
                <w:highlight w:val="none"/>
              </w:rPr>
            </w:pPr>
            <w:r>
              <w:rPr>
                <w:rFonts w:hint="eastAsia"/>
                <w:sz w:val="24"/>
                <w:highlight w:val="none"/>
              </w:rPr>
              <w:t>0.98</w:t>
            </w:r>
          </w:p>
        </w:tc>
        <w:tc>
          <w:tcPr>
            <w:tcW w:w="1234" w:type="dxa"/>
            <w:vAlign w:val="top"/>
          </w:tcPr>
          <w:p w14:paraId="18D7EC19">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534E51D6">
        <w:tblPrEx>
          <w:tblLayout w:type="fixed"/>
        </w:tblPrEx>
        <w:trPr>
          <w:trHeight w:val="620" w:hRule="atLeast"/>
        </w:trPr>
        <w:tc>
          <w:tcPr>
            <w:tcW w:w="815" w:type="dxa"/>
            <w:vAlign w:val="top"/>
          </w:tcPr>
          <w:p w14:paraId="5E77E325">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19</w:t>
            </w:r>
          </w:p>
        </w:tc>
        <w:tc>
          <w:tcPr>
            <w:tcW w:w="5395" w:type="dxa"/>
            <w:vAlign w:val="top"/>
          </w:tcPr>
          <w:p w14:paraId="18961388">
            <w:pPr>
              <w:pStyle w:val="18"/>
              <w:ind w:left="107" w:leftChars="0"/>
              <w:jc w:val="left"/>
              <w:rPr>
                <w:sz w:val="24"/>
                <w:highlight w:val="none"/>
              </w:rPr>
            </w:pPr>
            <w:r>
              <w:rPr>
                <w:sz w:val="24"/>
                <w:highlight w:val="none"/>
              </w:rPr>
              <w:t>发电侧超发电量惩罚系数 K1</w:t>
            </w:r>
          </w:p>
        </w:tc>
        <w:tc>
          <w:tcPr>
            <w:tcW w:w="1234" w:type="dxa"/>
            <w:vAlign w:val="top"/>
          </w:tcPr>
          <w:p w14:paraId="18585E77">
            <w:pPr>
              <w:pStyle w:val="18"/>
              <w:ind w:left="6" w:leftChars="0"/>
              <w:jc w:val="center"/>
              <w:rPr>
                <w:sz w:val="24"/>
                <w:highlight w:val="none"/>
              </w:rPr>
            </w:pPr>
            <w:r>
              <w:rPr>
                <w:rFonts w:hint="eastAsia"/>
                <w:sz w:val="24"/>
                <w:highlight w:val="none"/>
              </w:rPr>
              <w:t>1</w:t>
            </w:r>
          </w:p>
        </w:tc>
        <w:tc>
          <w:tcPr>
            <w:tcW w:w="1234" w:type="dxa"/>
            <w:vAlign w:val="top"/>
          </w:tcPr>
          <w:p w14:paraId="47108064">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579C9DCF">
        <w:tblPrEx>
          <w:tblLayout w:type="fixed"/>
        </w:tblPrEx>
        <w:trPr>
          <w:trHeight w:val="620" w:hRule="atLeast"/>
        </w:trPr>
        <w:tc>
          <w:tcPr>
            <w:tcW w:w="815" w:type="dxa"/>
            <w:vAlign w:val="top"/>
          </w:tcPr>
          <w:p w14:paraId="7902BB05">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20</w:t>
            </w:r>
          </w:p>
        </w:tc>
        <w:tc>
          <w:tcPr>
            <w:tcW w:w="5395" w:type="dxa"/>
            <w:vAlign w:val="top"/>
          </w:tcPr>
          <w:p w14:paraId="3B91CF4A">
            <w:pPr>
              <w:pStyle w:val="18"/>
              <w:spacing w:before="155"/>
              <w:ind w:left="107" w:leftChars="0"/>
              <w:jc w:val="left"/>
              <w:rPr>
                <w:sz w:val="24"/>
                <w:highlight w:val="none"/>
              </w:rPr>
            </w:pPr>
            <w:r>
              <w:rPr>
                <w:sz w:val="24"/>
                <w:highlight w:val="none"/>
              </w:rPr>
              <w:t>发电侧少发电量惩罚系数 K2</w:t>
            </w:r>
          </w:p>
        </w:tc>
        <w:tc>
          <w:tcPr>
            <w:tcW w:w="1234" w:type="dxa"/>
            <w:vAlign w:val="top"/>
          </w:tcPr>
          <w:p w14:paraId="3443E21D">
            <w:pPr>
              <w:pStyle w:val="18"/>
              <w:ind w:left="6" w:leftChars="0"/>
              <w:jc w:val="center"/>
              <w:rPr>
                <w:sz w:val="24"/>
                <w:highlight w:val="none"/>
              </w:rPr>
            </w:pPr>
            <w:r>
              <w:rPr>
                <w:rFonts w:hint="eastAsia"/>
                <w:sz w:val="24"/>
                <w:highlight w:val="none"/>
              </w:rPr>
              <w:t>1.02</w:t>
            </w:r>
          </w:p>
        </w:tc>
        <w:tc>
          <w:tcPr>
            <w:tcW w:w="1234" w:type="dxa"/>
            <w:vAlign w:val="top"/>
          </w:tcPr>
          <w:p w14:paraId="5C8442B3">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623FA9D0">
        <w:tblPrEx>
          <w:tblLayout w:type="fixed"/>
        </w:tblPrEx>
        <w:trPr>
          <w:trHeight w:val="620" w:hRule="atLeast"/>
        </w:trPr>
        <w:tc>
          <w:tcPr>
            <w:tcW w:w="815" w:type="dxa"/>
            <w:vAlign w:val="top"/>
          </w:tcPr>
          <w:p w14:paraId="2D710AB0">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21</w:t>
            </w:r>
          </w:p>
        </w:tc>
        <w:tc>
          <w:tcPr>
            <w:tcW w:w="5395" w:type="dxa"/>
            <w:vAlign w:val="top"/>
          </w:tcPr>
          <w:p w14:paraId="16DA7D07">
            <w:pPr>
              <w:pStyle w:val="18"/>
              <w:ind w:left="107" w:leftChars="0"/>
              <w:jc w:val="left"/>
              <w:rPr>
                <w:sz w:val="24"/>
                <w:highlight w:val="none"/>
              </w:rPr>
            </w:pPr>
            <w:r>
              <w:rPr>
                <w:sz w:val="24"/>
                <w:highlight w:val="none"/>
              </w:rPr>
              <w:t>发电侧非自身原因少发电量惩罚系数 K3</w:t>
            </w:r>
          </w:p>
        </w:tc>
        <w:tc>
          <w:tcPr>
            <w:tcW w:w="1234" w:type="dxa"/>
            <w:vAlign w:val="top"/>
          </w:tcPr>
          <w:p w14:paraId="31682613">
            <w:pPr>
              <w:pStyle w:val="18"/>
              <w:ind w:left="6" w:leftChars="0"/>
              <w:jc w:val="center"/>
              <w:rPr>
                <w:sz w:val="24"/>
                <w:highlight w:val="none"/>
              </w:rPr>
            </w:pPr>
            <w:r>
              <w:rPr>
                <w:rFonts w:hint="eastAsia"/>
                <w:sz w:val="24"/>
                <w:highlight w:val="none"/>
              </w:rPr>
              <w:t>1</w:t>
            </w:r>
          </w:p>
        </w:tc>
        <w:tc>
          <w:tcPr>
            <w:tcW w:w="1234" w:type="dxa"/>
            <w:vAlign w:val="top"/>
          </w:tcPr>
          <w:p w14:paraId="35257F33">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10C6F168">
        <w:tblPrEx>
          <w:tblLayout w:type="fixed"/>
        </w:tblPrEx>
        <w:trPr>
          <w:trHeight w:val="620" w:hRule="atLeast"/>
        </w:trPr>
        <w:tc>
          <w:tcPr>
            <w:tcW w:w="815" w:type="dxa"/>
            <w:vAlign w:val="top"/>
          </w:tcPr>
          <w:p w14:paraId="7E43EC0F">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22</w:t>
            </w:r>
          </w:p>
        </w:tc>
        <w:tc>
          <w:tcPr>
            <w:tcW w:w="5395" w:type="dxa"/>
            <w:vAlign w:val="top"/>
          </w:tcPr>
          <w:p w14:paraId="243938F1">
            <w:pPr>
              <w:pStyle w:val="18"/>
              <w:spacing w:before="155"/>
              <w:ind w:left="107" w:leftChars="0"/>
              <w:jc w:val="left"/>
              <w:rPr>
                <w:sz w:val="24"/>
                <w:highlight w:val="none"/>
              </w:rPr>
            </w:pPr>
            <w:r>
              <w:rPr>
                <w:sz w:val="24"/>
                <w:highlight w:val="none"/>
              </w:rPr>
              <w:t>储能的月度净合约上限调整参数 y</w:t>
            </w:r>
          </w:p>
        </w:tc>
        <w:tc>
          <w:tcPr>
            <w:tcW w:w="1234" w:type="dxa"/>
            <w:vAlign w:val="top"/>
          </w:tcPr>
          <w:p w14:paraId="7BD15E4A">
            <w:pPr>
              <w:pStyle w:val="18"/>
              <w:ind w:left="6" w:leftChars="0"/>
              <w:jc w:val="center"/>
              <w:rPr>
                <w:sz w:val="24"/>
                <w:highlight w:val="none"/>
              </w:rPr>
            </w:pPr>
            <w:r>
              <w:rPr>
                <w:rFonts w:hint="eastAsia"/>
                <w:sz w:val="24"/>
                <w:highlight w:val="none"/>
              </w:rPr>
              <w:t>2</w:t>
            </w:r>
          </w:p>
        </w:tc>
        <w:tc>
          <w:tcPr>
            <w:tcW w:w="1234" w:type="dxa"/>
            <w:vAlign w:val="top"/>
          </w:tcPr>
          <w:p w14:paraId="4F4CB70E">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6581062C">
        <w:tblPrEx>
          <w:tblLayout w:type="fixed"/>
        </w:tblPrEx>
        <w:trPr>
          <w:trHeight w:val="620" w:hRule="atLeast"/>
        </w:trPr>
        <w:tc>
          <w:tcPr>
            <w:tcW w:w="815" w:type="dxa"/>
            <w:vAlign w:val="top"/>
          </w:tcPr>
          <w:p w14:paraId="7DBD7BDA">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23</w:t>
            </w:r>
          </w:p>
        </w:tc>
        <w:tc>
          <w:tcPr>
            <w:tcW w:w="5395" w:type="dxa"/>
            <w:vAlign w:val="top"/>
          </w:tcPr>
          <w:p w14:paraId="22154AD3">
            <w:pPr>
              <w:pStyle w:val="18"/>
              <w:ind w:left="107" w:leftChars="0"/>
              <w:jc w:val="left"/>
              <w:rPr>
                <w:sz w:val="24"/>
                <w:highlight w:val="none"/>
              </w:rPr>
            </w:pPr>
            <w:r>
              <w:rPr>
                <w:sz w:val="24"/>
                <w:highlight w:val="none"/>
              </w:rPr>
              <w:t>储能的月度累计合约上限调整参数 f3</w:t>
            </w:r>
          </w:p>
        </w:tc>
        <w:tc>
          <w:tcPr>
            <w:tcW w:w="1234" w:type="dxa"/>
            <w:vAlign w:val="top"/>
          </w:tcPr>
          <w:p w14:paraId="6B5E91FA">
            <w:pPr>
              <w:pStyle w:val="18"/>
              <w:ind w:left="6" w:leftChars="0"/>
              <w:jc w:val="center"/>
              <w:rPr>
                <w:sz w:val="24"/>
                <w:highlight w:val="none"/>
              </w:rPr>
            </w:pPr>
            <w:r>
              <w:rPr>
                <w:rFonts w:hint="eastAsia"/>
                <w:sz w:val="24"/>
                <w:highlight w:val="none"/>
              </w:rPr>
              <w:t>1.5</w:t>
            </w:r>
          </w:p>
        </w:tc>
        <w:tc>
          <w:tcPr>
            <w:tcW w:w="1234" w:type="dxa"/>
            <w:vAlign w:val="top"/>
          </w:tcPr>
          <w:p w14:paraId="2BEAA7EE">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0C9B523C">
        <w:tblPrEx>
          <w:tblLayout w:type="fixed"/>
        </w:tblPrEx>
        <w:trPr>
          <w:trHeight w:val="620" w:hRule="atLeast"/>
        </w:trPr>
        <w:tc>
          <w:tcPr>
            <w:tcW w:w="815" w:type="dxa"/>
            <w:vAlign w:val="top"/>
          </w:tcPr>
          <w:p w14:paraId="2FC3FFA0">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24</w:t>
            </w:r>
          </w:p>
        </w:tc>
        <w:tc>
          <w:tcPr>
            <w:tcW w:w="5395" w:type="dxa"/>
            <w:vAlign w:val="top"/>
          </w:tcPr>
          <w:p w14:paraId="139CD5E0">
            <w:pPr>
              <w:pStyle w:val="18"/>
              <w:spacing w:before="155"/>
              <w:ind w:left="107" w:leftChars="0"/>
              <w:jc w:val="left"/>
              <w:rPr>
                <w:sz w:val="24"/>
                <w:highlight w:val="none"/>
              </w:rPr>
            </w:pPr>
            <w:r>
              <w:rPr>
                <w:sz w:val="24"/>
                <w:highlight w:val="none"/>
              </w:rPr>
              <w:t>风光申报上限调节系数 f</w:t>
            </w:r>
          </w:p>
        </w:tc>
        <w:tc>
          <w:tcPr>
            <w:tcW w:w="1234" w:type="dxa"/>
            <w:vAlign w:val="top"/>
          </w:tcPr>
          <w:p w14:paraId="283FC32D">
            <w:pPr>
              <w:pStyle w:val="18"/>
              <w:ind w:left="6" w:leftChars="0"/>
              <w:jc w:val="center"/>
              <w:rPr>
                <w:sz w:val="24"/>
                <w:highlight w:val="none"/>
              </w:rPr>
            </w:pPr>
            <w:r>
              <w:rPr>
                <w:rFonts w:hint="eastAsia"/>
                <w:sz w:val="24"/>
                <w:highlight w:val="none"/>
              </w:rPr>
              <w:t>1.2</w:t>
            </w:r>
          </w:p>
        </w:tc>
        <w:tc>
          <w:tcPr>
            <w:tcW w:w="1234" w:type="dxa"/>
            <w:vAlign w:val="top"/>
          </w:tcPr>
          <w:p w14:paraId="472B071B">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24C786DB">
        <w:tblPrEx>
          <w:tblLayout w:type="fixed"/>
        </w:tblPrEx>
        <w:trPr>
          <w:trHeight w:val="620" w:hRule="atLeast"/>
        </w:trPr>
        <w:tc>
          <w:tcPr>
            <w:tcW w:w="815" w:type="dxa"/>
            <w:vAlign w:val="top"/>
          </w:tcPr>
          <w:p w14:paraId="6E8E3178">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25</w:t>
            </w:r>
          </w:p>
        </w:tc>
        <w:tc>
          <w:tcPr>
            <w:tcW w:w="5395" w:type="dxa"/>
            <w:vAlign w:val="top"/>
          </w:tcPr>
          <w:p w14:paraId="53A02341">
            <w:pPr>
              <w:pStyle w:val="18"/>
              <w:ind w:left="107" w:leftChars="0"/>
              <w:jc w:val="left"/>
              <w:rPr>
                <w:sz w:val="24"/>
                <w:highlight w:val="none"/>
              </w:rPr>
            </w:pPr>
            <w:r>
              <w:rPr>
                <w:sz w:val="24"/>
                <w:highlight w:val="none"/>
              </w:rPr>
              <w:t>累计合约调整参数 f2</w:t>
            </w:r>
          </w:p>
        </w:tc>
        <w:tc>
          <w:tcPr>
            <w:tcW w:w="1234" w:type="dxa"/>
            <w:vAlign w:val="top"/>
          </w:tcPr>
          <w:p w14:paraId="73F118CD">
            <w:pPr>
              <w:pStyle w:val="18"/>
              <w:ind w:left="6" w:leftChars="0"/>
              <w:jc w:val="center"/>
              <w:rPr>
                <w:sz w:val="24"/>
                <w:highlight w:val="none"/>
              </w:rPr>
            </w:pPr>
            <w:r>
              <w:rPr>
                <w:rFonts w:hint="eastAsia"/>
                <w:sz w:val="24"/>
                <w:highlight w:val="none"/>
              </w:rPr>
              <w:t>1.5</w:t>
            </w:r>
          </w:p>
        </w:tc>
        <w:tc>
          <w:tcPr>
            <w:tcW w:w="1234" w:type="dxa"/>
            <w:vAlign w:val="top"/>
          </w:tcPr>
          <w:p w14:paraId="6C84BF81">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5A52DB66">
        <w:tblPrEx>
          <w:tblLayout w:type="fixed"/>
        </w:tblPrEx>
        <w:trPr>
          <w:trHeight w:val="620" w:hRule="atLeast"/>
        </w:trPr>
        <w:tc>
          <w:tcPr>
            <w:tcW w:w="815" w:type="dxa"/>
            <w:vAlign w:val="top"/>
          </w:tcPr>
          <w:p w14:paraId="6099A78C">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26</w:t>
            </w:r>
          </w:p>
        </w:tc>
        <w:tc>
          <w:tcPr>
            <w:tcW w:w="5395" w:type="dxa"/>
            <w:vAlign w:val="top"/>
          </w:tcPr>
          <w:p w14:paraId="024423A4">
            <w:pPr>
              <w:pStyle w:val="18"/>
              <w:spacing w:before="155"/>
              <w:ind w:left="107" w:leftChars="0"/>
              <w:jc w:val="left"/>
              <w:rPr>
                <w:sz w:val="24"/>
                <w:highlight w:val="none"/>
              </w:rPr>
            </w:pPr>
            <w:r>
              <w:rPr>
                <w:sz w:val="24"/>
                <w:highlight w:val="none"/>
              </w:rPr>
              <w:t>储能日均充放电循环次数</w:t>
            </w:r>
          </w:p>
        </w:tc>
        <w:tc>
          <w:tcPr>
            <w:tcW w:w="1234" w:type="dxa"/>
            <w:vAlign w:val="top"/>
          </w:tcPr>
          <w:p w14:paraId="197D62D7">
            <w:pPr>
              <w:pStyle w:val="18"/>
              <w:ind w:left="6" w:leftChars="0"/>
              <w:jc w:val="center"/>
              <w:rPr>
                <w:sz w:val="24"/>
                <w:highlight w:val="none"/>
              </w:rPr>
            </w:pPr>
            <w:r>
              <w:rPr>
                <w:rFonts w:hint="eastAsia"/>
                <w:sz w:val="24"/>
                <w:highlight w:val="none"/>
              </w:rPr>
              <w:t>1</w:t>
            </w:r>
          </w:p>
        </w:tc>
        <w:tc>
          <w:tcPr>
            <w:tcW w:w="1234" w:type="dxa"/>
            <w:vAlign w:val="top"/>
          </w:tcPr>
          <w:p w14:paraId="270658DA">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1F391E90">
        <w:tblPrEx>
          <w:tblLayout w:type="fixed"/>
        </w:tblPrEx>
        <w:trPr>
          <w:trHeight w:val="620" w:hRule="atLeast"/>
        </w:trPr>
        <w:tc>
          <w:tcPr>
            <w:tcW w:w="815" w:type="dxa"/>
            <w:vAlign w:val="top"/>
          </w:tcPr>
          <w:p w14:paraId="0FF88631">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27</w:t>
            </w:r>
          </w:p>
        </w:tc>
        <w:tc>
          <w:tcPr>
            <w:tcW w:w="5395" w:type="dxa"/>
            <w:vAlign w:val="top"/>
          </w:tcPr>
          <w:p w14:paraId="548617DE">
            <w:pPr>
              <w:pStyle w:val="18"/>
              <w:spacing w:before="153"/>
              <w:ind w:left="107" w:leftChars="0"/>
              <w:jc w:val="left"/>
              <w:rPr>
                <w:sz w:val="24"/>
                <w:highlight w:val="none"/>
              </w:rPr>
            </w:pPr>
            <w:r>
              <w:rPr>
                <w:sz w:val="24"/>
                <w:highlight w:val="none"/>
              </w:rPr>
              <w:t>中长期合约燃煤成交价格上限 D1</w:t>
            </w:r>
          </w:p>
        </w:tc>
        <w:tc>
          <w:tcPr>
            <w:tcW w:w="1234" w:type="dxa"/>
            <w:vAlign w:val="top"/>
          </w:tcPr>
          <w:p w14:paraId="27F43EF9">
            <w:pPr>
              <w:pStyle w:val="18"/>
              <w:ind w:left="6" w:leftChars="0"/>
              <w:jc w:val="center"/>
              <w:rPr>
                <w:sz w:val="24"/>
                <w:highlight w:val="none"/>
              </w:rPr>
            </w:pPr>
            <w:r>
              <w:rPr>
                <w:rFonts w:hint="eastAsia"/>
                <w:sz w:val="24"/>
                <w:highlight w:val="none"/>
              </w:rPr>
              <w:t>/</w:t>
            </w:r>
          </w:p>
        </w:tc>
        <w:tc>
          <w:tcPr>
            <w:tcW w:w="1234" w:type="dxa"/>
            <w:vAlign w:val="top"/>
          </w:tcPr>
          <w:p w14:paraId="754B691E">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01DBC826">
        <w:tblPrEx>
          <w:tblLayout w:type="fixed"/>
        </w:tblPrEx>
        <w:trPr>
          <w:trHeight w:val="620" w:hRule="atLeast"/>
        </w:trPr>
        <w:tc>
          <w:tcPr>
            <w:tcW w:w="815" w:type="dxa"/>
            <w:vAlign w:val="top"/>
          </w:tcPr>
          <w:p w14:paraId="2F10D4A3">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28</w:t>
            </w:r>
          </w:p>
        </w:tc>
        <w:tc>
          <w:tcPr>
            <w:tcW w:w="5395" w:type="dxa"/>
            <w:vAlign w:val="top"/>
          </w:tcPr>
          <w:p w14:paraId="076F5573">
            <w:pPr>
              <w:pStyle w:val="18"/>
              <w:ind w:left="107" w:leftChars="0"/>
              <w:jc w:val="left"/>
              <w:rPr>
                <w:sz w:val="24"/>
                <w:highlight w:val="none"/>
              </w:rPr>
            </w:pPr>
            <w:r>
              <w:rPr>
                <w:sz w:val="24"/>
                <w:highlight w:val="none"/>
              </w:rPr>
              <w:t>中长期合约燃煤成交价格下限 D2</w:t>
            </w:r>
          </w:p>
        </w:tc>
        <w:tc>
          <w:tcPr>
            <w:tcW w:w="1234" w:type="dxa"/>
            <w:vAlign w:val="top"/>
          </w:tcPr>
          <w:p w14:paraId="2E5D2E5A">
            <w:pPr>
              <w:pStyle w:val="18"/>
              <w:ind w:left="6" w:leftChars="0"/>
              <w:jc w:val="center"/>
              <w:rPr>
                <w:sz w:val="24"/>
                <w:highlight w:val="none"/>
              </w:rPr>
            </w:pPr>
            <w:r>
              <w:rPr>
                <w:rFonts w:hint="eastAsia"/>
                <w:sz w:val="24"/>
                <w:highlight w:val="none"/>
              </w:rPr>
              <w:t>/</w:t>
            </w:r>
          </w:p>
        </w:tc>
        <w:tc>
          <w:tcPr>
            <w:tcW w:w="1234" w:type="dxa"/>
            <w:vAlign w:val="top"/>
          </w:tcPr>
          <w:p w14:paraId="1D514421">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160D876C">
        <w:tblPrEx>
          <w:tblLayout w:type="fixed"/>
        </w:tblPrEx>
        <w:trPr>
          <w:trHeight w:val="620" w:hRule="atLeast"/>
        </w:trPr>
        <w:tc>
          <w:tcPr>
            <w:tcW w:w="815" w:type="dxa"/>
            <w:vAlign w:val="top"/>
          </w:tcPr>
          <w:p w14:paraId="01700E9E">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29</w:t>
            </w:r>
          </w:p>
        </w:tc>
        <w:tc>
          <w:tcPr>
            <w:tcW w:w="5395" w:type="dxa"/>
            <w:vAlign w:val="top"/>
          </w:tcPr>
          <w:p w14:paraId="2CF9B253">
            <w:pPr>
              <w:pStyle w:val="18"/>
              <w:spacing w:before="157"/>
              <w:ind w:left="107" w:leftChars="0"/>
              <w:jc w:val="left"/>
              <w:rPr>
                <w:sz w:val="24"/>
                <w:highlight w:val="none"/>
              </w:rPr>
            </w:pPr>
            <w:r>
              <w:rPr>
                <w:sz w:val="24"/>
                <w:highlight w:val="none"/>
              </w:rPr>
              <w:t>零售穿透比例下限 LL%</w:t>
            </w:r>
          </w:p>
        </w:tc>
        <w:tc>
          <w:tcPr>
            <w:tcW w:w="1234" w:type="dxa"/>
            <w:vAlign w:val="top"/>
          </w:tcPr>
          <w:p w14:paraId="2F146ABF">
            <w:pPr>
              <w:pStyle w:val="18"/>
              <w:ind w:left="6" w:leftChars="0"/>
              <w:jc w:val="center"/>
              <w:rPr>
                <w:sz w:val="24"/>
                <w:highlight w:val="none"/>
              </w:rPr>
            </w:pPr>
            <w:r>
              <w:rPr>
                <w:rFonts w:hint="eastAsia"/>
                <w:sz w:val="24"/>
                <w:highlight w:val="none"/>
              </w:rPr>
              <w:t>10%</w:t>
            </w:r>
          </w:p>
        </w:tc>
        <w:tc>
          <w:tcPr>
            <w:tcW w:w="1234" w:type="dxa"/>
            <w:vAlign w:val="top"/>
          </w:tcPr>
          <w:p w14:paraId="41274F7B">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r w14:paraId="70187B07">
        <w:tblPrEx>
          <w:tblLayout w:type="fixed"/>
        </w:tblPrEx>
        <w:trPr>
          <w:trHeight w:val="620" w:hRule="atLeast"/>
        </w:trPr>
        <w:tc>
          <w:tcPr>
            <w:tcW w:w="815" w:type="dxa"/>
            <w:vAlign w:val="top"/>
          </w:tcPr>
          <w:p w14:paraId="67568B2A">
            <w:pPr>
              <w:pStyle w:val="18"/>
              <w:ind w:left="0" w:leftChars="0" w:right="276" w:rightChars="0"/>
              <w:jc w:val="center"/>
              <w:rPr>
                <w:rFonts w:hint="default"/>
                <w:sz w:val="24"/>
                <w:highlight w:val="none"/>
                <w:lang w:val="en-US" w:eastAsia="zh-CN"/>
              </w:rPr>
            </w:pPr>
            <w:r>
              <w:rPr>
                <w:rFonts w:hint="eastAsia"/>
                <w:sz w:val="24"/>
                <w:highlight w:val="none"/>
                <w:lang w:val="en-US" w:eastAsia="zh-CN"/>
              </w:rPr>
              <w:t xml:space="preserve">  30</w:t>
            </w:r>
          </w:p>
        </w:tc>
        <w:tc>
          <w:tcPr>
            <w:tcW w:w="5395" w:type="dxa"/>
            <w:vAlign w:val="top"/>
          </w:tcPr>
          <w:p w14:paraId="6FEF899C">
            <w:pPr>
              <w:pStyle w:val="18"/>
              <w:ind w:left="107" w:leftChars="0"/>
              <w:jc w:val="left"/>
              <w:rPr>
                <w:sz w:val="24"/>
                <w:highlight w:val="none"/>
              </w:rPr>
            </w:pPr>
            <w:r>
              <w:rPr>
                <w:sz w:val="24"/>
                <w:highlight w:val="none"/>
              </w:rPr>
              <w:t>零售穿透比例上限 UL%</w:t>
            </w:r>
          </w:p>
        </w:tc>
        <w:tc>
          <w:tcPr>
            <w:tcW w:w="1234" w:type="dxa"/>
            <w:vAlign w:val="top"/>
          </w:tcPr>
          <w:p w14:paraId="5F4753A8">
            <w:pPr>
              <w:pStyle w:val="18"/>
              <w:ind w:left="6" w:leftChars="0"/>
              <w:jc w:val="center"/>
              <w:rPr>
                <w:sz w:val="24"/>
                <w:highlight w:val="none"/>
              </w:rPr>
            </w:pPr>
            <w:r>
              <w:rPr>
                <w:rFonts w:hint="eastAsia"/>
                <w:sz w:val="24"/>
                <w:highlight w:val="none"/>
              </w:rPr>
              <w:t>50%</w:t>
            </w:r>
          </w:p>
        </w:tc>
        <w:tc>
          <w:tcPr>
            <w:tcW w:w="1234" w:type="dxa"/>
            <w:vAlign w:val="top"/>
          </w:tcPr>
          <w:p w14:paraId="661A623E">
            <w:pPr>
              <w:pStyle w:val="18"/>
              <w:keepNext w:val="0"/>
              <w:keepLines w:val="0"/>
              <w:pageBreakBefore w:val="0"/>
              <w:widowControl w:val="0"/>
              <w:kinsoku/>
              <w:wordWrap/>
              <w:overflowPunct/>
              <w:topLinePunct w:val="0"/>
              <w:autoSpaceDE/>
              <w:autoSpaceDN/>
              <w:bidi w:val="0"/>
              <w:adjustRightInd/>
              <w:snapToGrid/>
              <w:spacing w:before="0"/>
              <w:ind w:left="0" w:leftChars="0" w:right="0" w:rightChars="0"/>
              <w:jc w:val="center"/>
              <w:textAlignment w:val="auto"/>
              <w:rPr>
                <w:sz w:val="24"/>
                <w:highlight w:val="none"/>
              </w:rPr>
            </w:pPr>
          </w:p>
        </w:tc>
      </w:tr>
    </w:tbl>
    <w:p w14:paraId="0B27D24A">
      <w:pPr>
        <w:spacing w:before="1"/>
        <w:ind w:left="566" w:right="0" w:firstLine="0"/>
        <w:jc w:val="left"/>
        <w:rPr>
          <w:rFonts w:hint="eastAsia" w:ascii="仿宋" w:eastAsia="仿宋"/>
          <w:sz w:val="24"/>
          <w:highlight w:val="none"/>
        </w:rPr>
      </w:pPr>
      <w:r>
        <w:rPr>
          <w:rFonts w:hint="eastAsia" w:ascii="仿宋" w:eastAsia="仿宋"/>
          <w:sz w:val="24"/>
          <w:highlight w:val="none"/>
        </w:rPr>
        <w:t>备注：其他参数按照区域执行。</w:t>
      </w: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6E7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F8A50">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14:paraId="424F8A50">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889FF"/>
    <w:multiLevelType w:val="singleLevel"/>
    <w:tmpl w:val="30F889FF"/>
    <w:lvl w:ilvl="0" w:tentative="0">
      <w:start w:val="3"/>
      <w:numFmt w:val="decimal"/>
      <w:suff w:val="space"/>
      <w:lvlText w:val="%1."/>
      <w:lvlJc w:val="left"/>
    </w:lvl>
  </w:abstractNum>
  <w:abstractNum w:abstractNumId="1">
    <w:nsid w:val="582D5E24"/>
    <w:multiLevelType w:val="singleLevel"/>
    <w:tmpl w:val="582D5E2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sz w:val="32"/>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Title"/>
    <w:basedOn w:val="1"/>
    <w:next w:val="1"/>
    <w:qFormat/>
    <w:uiPriority w:val="0"/>
    <w:pPr>
      <w:spacing w:before="240" w:after="60"/>
      <w:jc w:val="center"/>
      <w:outlineLvl w:val="0"/>
    </w:pPr>
    <w:rPr>
      <w:rFonts w:ascii="Arial" w:hAnsi="Arial" w:eastAsia="宋体"/>
      <w:b/>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普通(网站)1"/>
    <w:basedOn w:val="1"/>
    <w:qFormat/>
    <w:uiPriority w:val="0"/>
    <w:pPr>
      <w:spacing w:before="100" w:beforeAutospacing="1" w:after="100" w:afterAutospacing="1"/>
      <w:jc w:val="left"/>
    </w:pPr>
    <w:rPr>
      <w:kern w:val="0"/>
      <w:sz w:val="24"/>
    </w:rPr>
  </w:style>
  <w:style w:type="paragraph" w:customStyle="1" w:styleId="14">
    <w:name w:val="正文文本1"/>
    <w:basedOn w:val="1"/>
    <w:qFormat/>
    <w:uiPriority w:val="0"/>
    <w:pPr>
      <w:ind w:left="220" w:firstLine="640"/>
    </w:pPr>
    <w:rPr>
      <w:rFonts w:ascii="仿宋_GB2312" w:hAnsi="仿宋_GB2312"/>
      <w:lang w:val="zh-CN" w:bidi="zh-CN"/>
    </w:rPr>
  </w:style>
  <w:style w:type="paragraph" w:customStyle="1" w:styleId="15">
    <w:name w:val="页脚1"/>
    <w:basedOn w:val="1"/>
    <w:qFormat/>
    <w:uiPriority w:val="0"/>
    <w:pPr>
      <w:tabs>
        <w:tab w:val="center" w:pos="4153"/>
        <w:tab w:val="right" w:pos="8306"/>
      </w:tabs>
      <w:snapToGrid w:val="0"/>
      <w:jc w:val="left"/>
    </w:pPr>
    <w:rPr>
      <w:sz w:val="18"/>
    </w:rPr>
  </w:style>
  <w:style w:type="character" w:customStyle="1" w:styleId="16">
    <w:name w:val="批注框文本 字符"/>
    <w:basedOn w:val="10"/>
    <w:link w:val="5"/>
    <w:qFormat/>
    <w:uiPriority w:val="0"/>
    <w:rPr>
      <w:rFonts w:eastAsia="仿宋_GB2312"/>
      <w:kern w:val="2"/>
      <w:sz w:val="18"/>
      <w:szCs w:val="18"/>
    </w:rPr>
  </w:style>
  <w:style w:type="paragraph" w:customStyle="1" w:styleId="17">
    <w:name w:val="List Paragraph"/>
    <w:basedOn w:val="1"/>
    <w:qFormat/>
    <w:uiPriority w:val="99"/>
    <w:pPr>
      <w:ind w:firstLine="420" w:firstLineChars="200"/>
    </w:pPr>
  </w:style>
  <w:style w:type="paragraph" w:customStyle="1" w:styleId="18">
    <w:name w:val="Table Paragraph"/>
    <w:basedOn w:val="1"/>
    <w:qFormat/>
    <w:uiPriority w:val="1"/>
    <w:pPr>
      <w:spacing w:before="156"/>
      <w:ind w:left="107"/>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711</Words>
  <Characters>765</Characters>
  <Lines>57</Lines>
  <Paragraphs>16</Paragraphs>
  <TotalTime>0</TotalTime>
  <ScaleCrop>false</ScaleCrop>
  <LinksUpToDate>false</LinksUpToDate>
  <CharactersWithSpaces>767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2024-11-26T11:29:00Z</dcterms:created>
  <dc:creator>31005</dc:creator>
  <cp:lastModifiedBy>iPhone</cp:lastModifiedBy>
  <cp:lastPrinted>2025-10-14T08:43:00Z</cp:lastPrinted>
  <dcterms:modified xsi:type="dcterms:W3CDTF">2025-10-15T14:16:24Z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2052-12.33.0</vt:lpwstr>
  </property>
  <property fmtid="{D5CDD505-2E9C-101B-9397-08002B2CF9AE}" pid="3" name="ICV">
    <vt:lpwstr>F45A2BD704C44AF1BC8AA44BA5F2CC79_13</vt:lpwstr>
  </property>
  <property fmtid="{D5CDD505-2E9C-101B-9397-08002B2CF9AE}" pid="4" name="KSOTemplateDocerSaveRecord">
    <vt:lpwstr>eyJoZGlkIjoiOTEyMDNhMWZmZGJkMTdmZDRmZjM0MmY3YTJlMWZlNzYiLCJ1c2VySWQiOiIyNzQxMjA5NzUifQ==</vt:lpwstr>
  </property>
</Properties>
</file>