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709"/>
        <w:gridCol w:w="3260"/>
        <w:gridCol w:w="2126"/>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356" w:type="dxa"/>
            <w:gridSpan w:val="7"/>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黑体" w:hAnsi="黑体" w:eastAsia="黑体" w:cs="黑体"/>
                <w:color w:val="auto"/>
                <w:spacing w:val="0"/>
                <w:sz w:val="21"/>
                <w:szCs w:val="32"/>
              </w:rPr>
            </w:pPr>
            <w:r>
              <w:rPr>
                <w:rFonts w:hint="eastAsia" w:ascii="黑体" w:hAnsi="黑体" w:eastAsia="黑体" w:cs="黑体"/>
                <w:color w:val="auto"/>
                <w:spacing w:val="0"/>
                <w:sz w:val="32"/>
                <w:szCs w:val="32"/>
              </w:rPr>
              <w:t>附件:</w:t>
            </w:r>
          </w:p>
          <w:p>
            <w:pPr>
              <w:spacing w:line="240" w:lineRule="auto"/>
              <w:jc w:val="center"/>
              <w:rPr>
                <w:rFonts w:hint="eastAsia" w:ascii="方正小标宋_GBK" w:hAnsi="方正小标宋_GBK" w:eastAsia="方正小标宋_GBK" w:cs="方正小标宋_GBK"/>
                <w:color w:val="auto"/>
                <w:spacing w:val="0"/>
                <w:kern w:val="2"/>
                <w:sz w:val="32"/>
                <w:szCs w:val="32"/>
                <w:lang w:val="en-US" w:eastAsia="zh-CN" w:bidi="ar-SA"/>
              </w:rPr>
            </w:pPr>
            <w:r>
              <w:rPr>
                <w:rFonts w:hint="eastAsia" w:ascii="方正小标宋_GBK" w:hAnsi="方正小标宋_GBK" w:eastAsia="方正小标宋_GBK" w:cs="方正小标宋_GBK"/>
                <w:color w:val="auto"/>
                <w:spacing w:val="0"/>
                <w:kern w:val="2"/>
                <w:sz w:val="32"/>
                <w:szCs w:val="32"/>
                <w:lang w:val="en-US" w:eastAsia="zh-CN" w:bidi="ar-SA"/>
              </w:rPr>
              <w:t>贵州瑞龙宇方矿用产品检验有限公司安全生产检测检验机构</w:t>
            </w:r>
          </w:p>
          <w:p>
            <w:pPr>
              <w:spacing w:line="240" w:lineRule="auto"/>
              <w:jc w:val="center"/>
              <w:rPr>
                <w:rFonts w:hint="eastAsia" w:ascii="方正小标宋_GBK" w:hAnsi="方正小标宋_GBK" w:eastAsia="方正小标宋_GBK" w:cs="方正小标宋_GBK"/>
                <w:color w:val="auto"/>
                <w:spacing w:val="0"/>
                <w:kern w:val="2"/>
                <w:sz w:val="32"/>
                <w:szCs w:val="32"/>
                <w:lang w:val="en-US" w:eastAsia="zh-CN" w:bidi="ar-SA"/>
              </w:rPr>
            </w:pPr>
            <w:r>
              <w:rPr>
                <w:rFonts w:hint="eastAsia" w:ascii="方正小标宋_GBK" w:hAnsi="方正小标宋_GBK" w:eastAsia="方正小标宋_GBK" w:cs="方正小标宋_GBK"/>
                <w:color w:val="auto"/>
                <w:spacing w:val="0"/>
                <w:kern w:val="2"/>
                <w:sz w:val="32"/>
                <w:szCs w:val="32"/>
                <w:lang w:val="en-US" w:eastAsia="zh-CN" w:bidi="ar-SA"/>
              </w:rPr>
              <w:t>信息公开表</w:t>
            </w:r>
          </w:p>
          <w:tbl>
            <w:tblPr>
              <w:tblStyle w:val="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43"/>
              <w:gridCol w:w="2801"/>
              <w:gridCol w:w="1418"/>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宋体"/>
                      <w:color w:val="auto"/>
                      <w:spacing w:val="0"/>
                      <w:kern w:val="0"/>
                      <w:sz w:val="24"/>
                      <w:szCs w:val="24"/>
                    </w:rPr>
                  </w:pPr>
                  <w:r>
                    <w:rPr>
                      <w:rFonts w:hint="eastAsia" w:ascii="仿宋" w:hAnsi="仿宋" w:eastAsia="仿宋" w:cs="宋体"/>
                      <w:color w:val="auto"/>
                      <w:spacing w:val="0"/>
                      <w:kern w:val="0"/>
                      <w:sz w:val="24"/>
                      <w:szCs w:val="24"/>
                    </w:rPr>
                    <w:t>机构名称</w:t>
                  </w:r>
                </w:p>
              </w:tc>
              <w:tc>
                <w:tcPr>
                  <w:tcW w:w="6992" w:type="dxa"/>
                  <w:gridSpan w:val="4"/>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宋体"/>
                      <w:color w:val="auto"/>
                      <w:spacing w:val="0"/>
                      <w:kern w:val="0"/>
                      <w:sz w:val="24"/>
                      <w:szCs w:val="24"/>
                    </w:rPr>
                  </w:pPr>
                  <w:r>
                    <w:rPr>
                      <w:rFonts w:hint="eastAsia" w:ascii="仿宋" w:hAnsi="仿宋" w:eastAsia="仿宋" w:cs="宋体"/>
                      <w:color w:val="auto"/>
                      <w:spacing w:val="0"/>
                      <w:kern w:val="0"/>
                      <w:sz w:val="24"/>
                      <w:szCs w:val="24"/>
                      <w:lang w:val="en-US" w:eastAsia="zh-CN"/>
                    </w:rPr>
                    <w:t>贵州瑞龙宇方矿用产品检验有限公司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10"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统一社会信用代码/注册号</w:t>
                  </w:r>
                </w:p>
              </w:tc>
              <w:tc>
                <w:tcPr>
                  <w:tcW w:w="6249" w:type="dxa"/>
                  <w:gridSpan w:val="3"/>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default" w:ascii="仿宋" w:hAnsi="仿宋" w:eastAsia="仿宋" w:cs="宋体"/>
                      <w:color w:val="auto"/>
                      <w:spacing w:val="0"/>
                      <w:kern w:val="0"/>
                      <w:sz w:val="24"/>
                      <w:szCs w:val="24"/>
                      <w:lang w:val="en-US" w:eastAsia="zh-CN"/>
                    </w:rPr>
                  </w:pPr>
                  <w:r>
                    <w:rPr>
                      <w:rFonts w:hint="eastAsia" w:ascii="仿宋" w:hAnsi="仿宋" w:eastAsia="仿宋" w:cs="宋体"/>
                      <w:color w:val="auto"/>
                      <w:spacing w:val="0"/>
                      <w:kern w:val="0"/>
                      <w:sz w:val="24"/>
                      <w:szCs w:val="24"/>
                      <w:lang w:val="en-US" w:eastAsia="zh-CN"/>
                    </w:rPr>
                    <w:t>91520112MA7LER076U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通信地址</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rPr>
                      <w:rFonts w:hint="default" w:ascii="仿宋" w:hAnsi="仿宋" w:eastAsia="仿宋" w:cs="Times New Roman"/>
                      <w:color w:val="auto"/>
                      <w:spacing w:val="0"/>
                      <w:sz w:val="24"/>
                      <w:szCs w:val="24"/>
                      <w:lang w:val="en-US" w:eastAsia="zh-CN"/>
                    </w:rPr>
                  </w:pPr>
                  <w:r>
                    <w:rPr>
                      <w:rFonts w:hint="eastAsia" w:ascii="仿宋" w:hAnsi="仿宋" w:eastAsia="仿宋" w:cs="Times New Roman"/>
                      <w:color w:val="auto"/>
                      <w:spacing w:val="0"/>
                      <w:sz w:val="24"/>
                      <w:szCs w:val="24"/>
                      <w:lang w:val="en-US" w:eastAsia="zh-CN"/>
                    </w:rPr>
                    <w:t>贵州省贵阳市贵州双龙航空港经济区小碧布依族苗族乡贵州佳海临空产业园10号楼10#-2</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邮政编码</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方正仿宋_GB2312"/>
                      <w:color w:val="auto"/>
                      <w:spacing w:val="0"/>
                      <w:sz w:val="24"/>
                      <w:szCs w:val="24"/>
                      <w:lang w:val="en-US" w:eastAsia="zh-CN"/>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实验室地址</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lang w:val="en-US" w:eastAsia="zh-CN"/>
                    </w:rPr>
                    <w:t>贵州省贵阳市贵州双龙航空港经济区小碧布依族苗族乡贵州佳海临空产业园10号楼10#-2</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邮政编码</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方正仿宋_GB2312"/>
                      <w:color w:val="auto"/>
                      <w:spacing w:val="0"/>
                      <w:sz w:val="24"/>
                      <w:szCs w:val="24"/>
                      <w:lang w:val="en-US" w:eastAsia="zh-CN"/>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机构信息公开网址</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http://www.gzrlyf.com/</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法定代表人</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宋体"/>
                      <w:bCs/>
                      <w:color w:val="auto"/>
                      <w:spacing w:val="0"/>
                      <w:sz w:val="24"/>
                      <w:szCs w:val="24"/>
                      <w:lang w:val="en-US" w:eastAsia="zh-CN"/>
                    </w:rPr>
                    <w:t>高慧杰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机构联系人</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宋体"/>
                      <w:bCs/>
                      <w:color w:val="auto"/>
                      <w:spacing w:val="0"/>
                      <w:sz w:val="24"/>
                      <w:szCs w:val="24"/>
                      <w:lang w:val="en-US" w:eastAsia="zh-CN"/>
                    </w:rPr>
                    <w:t>高慧杰</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联系电话</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宋体"/>
                      <w:bCs/>
                      <w:color w:val="auto"/>
                      <w:spacing w:val="0"/>
                      <w:sz w:val="24"/>
                      <w:szCs w:val="24"/>
                      <w:lang w:val="en-US" w:eastAsia="zh-CN"/>
                    </w:rPr>
                    <w:t>18798878867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主持检测检验工作负责人</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宋体"/>
                      <w:bCs/>
                      <w:color w:val="auto"/>
                      <w:spacing w:val="0"/>
                      <w:sz w:val="24"/>
                      <w:szCs w:val="24"/>
                      <w:lang w:val="en-US" w:eastAsia="zh-CN"/>
                    </w:rPr>
                    <w:t>龚琦森</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技术负责人</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default" w:ascii="仿宋" w:hAnsi="仿宋" w:eastAsia="仿宋" w:cs="Times New Roman"/>
                      <w:color w:val="auto"/>
                      <w:spacing w:val="0"/>
                      <w:sz w:val="24"/>
                      <w:szCs w:val="24"/>
                      <w:lang w:val="en-US" w:eastAsia="zh-CN"/>
                    </w:rPr>
                  </w:pPr>
                  <w:r>
                    <w:rPr>
                      <w:rFonts w:hint="eastAsia" w:ascii="仿宋" w:hAnsi="仿宋" w:eastAsia="仿宋" w:cs="宋体"/>
                      <w:bCs/>
                      <w:color w:val="auto"/>
                      <w:spacing w:val="0"/>
                      <w:sz w:val="24"/>
                      <w:szCs w:val="24"/>
                      <w:lang w:eastAsia="zh-CN"/>
                    </w:rPr>
                    <w:t>龚</w:t>
                  </w:r>
                  <w:r>
                    <w:rPr>
                      <w:rFonts w:hint="eastAsia" w:ascii="仿宋" w:hAnsi="仿宋" w:eastAsia="仿宋" w:cs="宋体"/>
                      <w:bCs/>
                      <w:color w:val="auto"/>
                      <w:spacing w:val="0"/>
                      <w:sz w:val="24"/>
                      <w:szCs w:val="24"/>
                      <w:lang w:val="en-US" w:eastAsia="zh-CN"/>
                    </w:rPr>
                    <w:t>琦森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资质证书编号</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lang w:eastAsia="zh-CN"/>
                    </w:rPr>
                  </w:pPr>
                  <w:r>
                    <w:rPr>
                      <w:rFonts w:hint="eastAsia" w:ascii="仿宋" w:hAnsi="仿宋" w:eastAsia="仿宋" w:cs="宋体"/>
                      <w:bCs/>
                      <w:color w:val="auto"/>
                      <w:spacing w:val="0"/>
                      <w:sz w:val="24"/>
                      <w:szCs w:val="24"/>
                    </w:rPr>
                    <w:t>黔 煤监 23 0</w:t>
                  </w:r>
                  <w:r>
                    <w:rPr>
                      <w:rFonts w:hint="eastAsia" w:ascii="仿宋" w:hAnsi="仿宋" w:eastAsia="仿宋" w:cs="宋体"/>
                      <w:bCs/>
                      <w:color w:val="auto"/>
                      <w:spacing w:val="0"/>
                      <w:sz w:val="24"/>
                      <w:szCs w:val="24"/>
                      <w:lang w:val="en-US" w:eastAsia="zh-CN"/>
                    </w:rPr>
                    <w:t>3</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发证日期</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bCs/>
                      <w:color w:val="auto"/>
                      <w:spacing w:val="0"/>
                      <w:sz w:val="24"/>
                      <w:szCs w:val="24"/>
                    </w:rPr>
                    <w:t>2023年</w:t>
                  </w:r>
                  <w:r>
                    <w:rPr>
                      <w:rFonts w:hint="eastAsia" w:ascii="仿宋" w:hAnsi="仿宋" w:eastAsia="仿宋" w:cs="宋体"/>
                      <w:bCs/>
                      <w:color w:val="auto"/>
                      <w:spacing w:val="0"/>
                      <w:sz w:val="24"/>
                      <w:szCs w:val="24"/>
                      <w:lang w:val="en-US" w:eastAsia="zh-CN"/>
                    </w:rPr>
                    <w:t>3</w:t>
                  </w:r>
                  <w:r>
                    <w:rPr>
                      <w:rFonts w:hint="eastAsia" w:ascii="仿宋" w:hAnsi="仿宋" w:eastAsia="仿宋" w:cs="宋体"/>
                      <w:bCs/>
                      <w:color w:val="auto"/>
                      <w:spacing w:val="0"/>
                      <w:sz w:val="24"/>
                      <w:szCs w:val="24"/>
                    </w:rPr>
                    <w:t>月</w:t>
                  </w:r>
                  <w:r>
                    <w:rPr>
                      <w:rFonts w:hint="eastAsia" w:ascii="仿宋" w:hAnsi="仿宋" w:eastAsia="仿宋" w:cs="宋体"/>
                      <w:bCs/>
                      <w:color w:val="auto"/>
                      <w:spacing w:val="0"/>
                      <w:sz w:val="24"/>
                      <w:szCs w:val="24"/>
                      <w:lang w:val="en-US" w:eastAsia="zh-CN"/>
                    </w:rPr>
                    <w:t>31</w:t>
                  </w:r>
                  <w:r>
                    <w:rPr>
                      <w:rFonts w:hint="eastAsia" w:ascii="仿宋" w:hAnsi="仿宋" w:eastAsia="仿宋" w:cs="宋体"/>
                      <w:bCs/>
                      <w:color w:val="auto"/>
                      <w:spacing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67" w:type="dxa"/>
                  <w:tcBorders>
                    <w:bottom w:val="single" w:color="auto" w:sz="4" w:space="0"/>
                  </w:tcBorders>
                  <w:shd w:val="clear" w:color="auto" w:fill="FFFFFF"/>
                  <w:vAlign w:val="center"/>
                </w:tcPr>
                <w:p>
                  <w:pPr>
                    <w:adjustRightInd w:val="0"/>
                    <w:snapToGrid w:val="0"/>
                    <w:spacing w:line="240" w:lineRule="auto"/>
                    <w:ind w:left="-77" w:leftChars="-25" w:right="-77" w:rightChars="-25"/>
                    <w:jc w:val="left"/>
                    <w:rPr>
                      <w:rFonts w:hint="eastAsia" w:ascii="仿宋" w:hAnsi="仿宋" w:eastAsia="仿宋" w:cs="Times New Roman"/>
                      <w:color w:val="auto"/>
                      <w:spacing w:val="0"/>
                      <w:sz w:val="24"/>
                      <w:szCs w:val="24"/>
                    </w:rPr>
                  </w:pPr>
                  <w:r>
                    <w:rPr>
                      <w:rFonts w:hint="eastAsia" w:ascii="仿宋" w:hAnsi="仿宋" w:eastAsia="仿宋" w:cs="宋体"/>
                      <w:color w:val="auto"/>
                      <w:spacing w:val="0"/>
                      <w:kern w:val="0"/>
                      <w:sz w:val="24"/>
                      <w:szCs w:val="24"/>
                    </w:rPr>
                    <w:t>资质证书批准部门</w:t>
                  </w:r>
                </w:p>
              </w:tc>
              <w:tc>
                <w:tcPr>
                  <w:tcW w:w="3544"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bCs/>
                      <w:color w:val="auto"/>
                      <w:spacing w:val="0"/>
                      <w:sz w:val="24"/>
                      <w:szCs w:val="24"/>
                    </w:rPr>
                    <w:t>贵州省能源局</w:t>
                  </w:r>
                </w:p>
              </w:tc>
              <w:tc>
                <w:tcPr>
                  <w:tcW w:w="1418" w:type="dxa"/>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Times New Roman"/>
                      <w:color w:val="auto"/>
                      <w:spacing w:val="0"/>
                      <w:sz w:val="24"/>
                      <w:szCs w:val="24"/>
                    </w:rPr>
                    <w:t>有效日期</w:t>
                  </w:r>
                </w:p>
              </w:tc>
              <w:tc>
                <w:tcPr>
                  <w:tcW w:w="2030" w:type="dxa"/>
                  <w:tcBorders>
                    <w:bottom w:val="single" w:color="auto" w:sz="4" w:space="0"/>
                  </w:tcBorders>
                  <w:shd w:val="clear" w:color="auto" w:fill="FFFFFF"/>
                  <w:vAlign w:val="center"/>
                </w:tcPr>
                <w:p>
                  <w:pPr>
                    <w:widowControl/>
                    <w:adjustRightInd w:val="0"/>
                    <w:snapToGrid w:val="0"/>
                    <w:spacing w:line="240" w:lineRule="auto"/>
                    <w:ind w:left="-77" w:leftChars="-25" w:right="-77" w:rightChars="-25"/>
                    <w:jc w:val="center"/>
                    <w:rPr>
                      <w:rFonts w:hint="eastAsia" w:ascii="仿宋" w:hAnsi="仿宋" w:eastAsia="仿宋" w:cs="Times New Roman"/>
                      <w:color w:val="auto"/>
                      <w:spacing w:val="0"/>
                      <w:sz w:val="24"/>
                      <w:szCs w:val="24"/>
                    </w:rPr>
                  </w:pPr>
                  <w:r>
                    <w:rPr>
                      <w:rFonts w:hint="eastAsia" w:ascii="仿宋" w:hAnsi="仿宋" w:eastAsia="仿宋" w:cs="宋体"/>
                      <w:bCs/>
                      <w:color w:val="auto"/>
                      <w:spacing w:val="0"/>
                      <w:sz w:val="24"/>
                      <w:szCs w:val="24"/>
                    </w:rPr>
                    <w:t>2028年</w:t>
                  </w:r>
                  <w:r>
                    <w:rPr>
                      <w:rFonts w:hint="eastAsia" w:ascii="仿宋" w:hAnsi="仿宋" w:eastAsia="仿宋" w:cs="宋体"/>
                      <w:bCs/>
                      <w:color w:val="auto"/>
                      <w:spacing w:val="0"/>
                      <w:sz w:val="24"/>
                      <w:szCs w:val="24"/>
                      <w:lang w:val="en-US" w:eastAsia="zh-CN"/>
                    </w:rPr>
                    <w:t>3</w:t>
                  </w:r>
                  <w:r>
                    <w:rPr>
                      <w:rFonts w:hint="eastAsia" w:ascii="仿宋" w:hAnsi="仿宋" w:eastAsia="仿宋" w:cs="宋体"/>
                      <w:bCs/>
                      <w:color w:val="auto"/>
                      <w:spacing w:val="0"/>
                      <w:sz w:val="24"/>
                      <w:szCs w:val="24"/>
                    </w:rPr>
                    <w:t>月</w:t>
                  </w:r>
                  <w:r>
                    <w:rPr>
                      <w:rFonts w:hint="eastAsia" w:ascii="仿宋" w:hAnsi="仿宋" w:eastAsia="仿宋" w:cs="宋体"/>
                      <w:bCs/>
                      <w:color w:val="auto"/>
                      <w:spacing w:val="0"/>
                      <w:sz w:val="24"/>
                      <w:szCs w:val="24"/>
                      <w:lang w:val="en-US" w:eastAsia="zh-CN"/>
                    </w:rPr>
                    <w:t>30</w:t>
                  </w:r>
                  <w:r>
                    <w:rPr>
                      <w:rFonts w:hint="eastAsia" w:ascii="仿宋" w:hAnsi="仿宋" w:eastAsia="仿宋" w:cs="宋体"/>
                      <w:bCs/>
                      <w:color w:val="auto"/>
                      <w:spacing w:val="0"/>
                      <w:sz w:val="24"/>
                      <w:szCs w:val="24"/>
                    </w:rPr>
                    <w:t>日</w:t>
                  </w:r>
                </w:p>
              </w:tc>
            </w:tr>
          </w:tbl>
          <w:p>
            <w:pPr>
              <w:widowControl w:val="0"/>
              <w:adjustRightInd w:val="0"/>
              <w:snapToGrid w:val="0"/>
              <w:spacing w:before="156" w:beforeLines="50" w:after="156" w:afterLines="50"/>
              <w:ind w:left="-77" w:leftChars="-25" w:right="-77" w:rightChars="-25"/>
              <w:jc w:val="center"/>
              <w:outlineLvl w:val="0"/>
              <w:rPr>
                <w:rFonts w:hint="eastAsia" w:ascii="仿宋" w:hAnsi="仿宋" w:eastAsia="仿宋" w:cs="Times New Roman"/>
                <w:b w:val="0"/>
                <w:bCs/>
                <w:color w:val="auto"/>
                <w:kern w:val="2"/>
                <w:sz w:val="32"/>
                <w:lang w:val="en-US" w:eastAsia="zh-CN" w:bidi="ar-SA"/>
              </w:rPr>
            </w:pPr>
            <w:r>
              <w:rPr>
                <w:rFonts w:ascii="仿宋" w:hAnsi="仿宋" w:eastAsia="仿宋" w:cs="Times New Roman"/>
                <w:b w:val="0"/>
                <w:bCs/>
                <w:color w:val="auto"/>
                <w:kern w:val="0"/>
                <w:sz w:val="28"/>
                <w:szCs w:val="28"/>
                <w:lang w:val="en-US" w:eastAsia="zh-CN" w:bidi="ar"/>
              </w:rPr>
              <w:t>批准的业务范围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ascii="Times New Roman" w:hAnsi="Times New Roman" w:eastAsia="仿宋" w:cs="Times New Roman"/>
                <w:color w:val="auto"/>
                <w:spacing w:val="0"/>
                <w:sz w:val="21"/>
                <w:szCs w:val="21"/>
              </w:rPr>
              <w:t>序号</w:t>
            </w:r>
          </w:p>
        </w:tc>
        <w:tc>
          <w:tcPr>
            <w:tcW w:w="992" w:type="dxa"/>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hint="eastAsia" w:ascii="Calibri" w:hAnsi="Calibri" w:eastAsia="仿宋" w:cs="Times New Roman"/>
                <w:color w:val="auto"/>
                <w:spacing w:val="0"/>
                <w:sz w:val="21"/>
                <w:szCs w:val="21"/>
              </w:rPr>
              <w:t>被检对象</w:t>
            </w:r>
          </w:p>
        </w:tc>
        <w:tc>
          <w:tcPr>
            <w:tcW w:w="3969" w:type="dxa"/>
            <w:gridSpan w:val="2"/>
            <w:tcBorders>
              <w:bottom w:val="single" w:color="auto" w:sz="4" w:space="0"/>
            </w:tcBorders>
            <w:shd w:val="clear" w:color="auto" w:fill="FFFFFF"/>
            <w:vAlign w:val="center"/>
          </w:tcPr>
          <w:p>
            <w:pPr>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hint="eastAsia" w:ascii="仿宋" w:hAnsi="仿宋" w:eastAsia="仿宋" w:cs="Times New Roman"/>
                <w:color w:val="auto"/>
                <w:spacing w:val="0"/>
                <w:sz w:val="21"/>
                <w:szCs w:val="21"/>
              </w:rPr>
              <w:t>项目/参数</w:t>
            </w:r>
          </w:p>
        </w:tc>
        <w:tc>
          <w:tcPr>
            <w:tcW w:w="2126" w:type="dxa"/>
            <w:shd w:val="clear" w:color="auto" w:fill="FFFFFF"/>
            <w:vAlign w:val="center"/>
          </w:tcPr>
          <w:p>
            <w:pPr>
              <w:widowControl/>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ascii="Times New Roman" w:hAnsi="Times New Roman" w:eastAsia="仿宋" w:cs="Times New Roman"/>
                <w:color w:val="auto"/>
                <w:spacing w:val="0"/>
                <w:sz w:val="21"/>
                <w:szCs w:val="21"/>
              </w:rPr>
              <w:t>依据标准（方法）名称及编号（含年号）</w:t>
            </w:r>
          </w:p>
        </w:tc>
        <w:tc>
          <w:tcPr>
            <w:tcW w:w="1134" w:type="dxa"/>
            <w:shd w:val="clear" w:color="auto" w:fill="FFFFFF"/>
            <w:vAlign w:val="center"/>
          </w:tcPr>
          <w:p>
            <w:pPr>
              <w:widowControl/>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hint="eastAsia" w:ascii="仿宋" w:hAnsi="仿宋" w:eastAsia="仿宋" w:cs="Times New Roman"/>
                <w:color w:val="auto"/>
                <w:spacing w:val="0"/>
                <w:sz w:val="21"/>
                <w:szCs w:val="21"/>
              </w:rPr>
              <w:t>限制范围</w:t>
            </w:r>
          </w:p>
        </w:tc>
        <w:tc>
          <w:tcPr>
            <w:tcW w:w="709" w:type="dxa"/>
            <w:shd w:val="clear" w:color="auto" w:fill="FFFFFF"/>
            <w:vAlign w:val="center"/>
          </w:tcPr>
          <w:p>
            <w:pPr>
              <w:widowControl/>
              <w:adjustRightInd w:val="0"/>
              <w:snapToGrid w:val="0"/>
              <w:spacing w:line="240" w:lineRule="auto"/>
              <w:ind w:left="-77" w:leftChars="-25" w:right="-77" w:rightChars="-25"/>
              <w:jc w:val="center"/>
              <w:rPr>
                <w:rFonts w:hint="eastAsia" w:ascii="仿宋" w:hAnsi="仿宋" w:eastAsia="仿宋" w:cs="Times New Roman"/>
                <w:color w:val="auto"/>
                <w:spacing w:val="0"/>
                <w:sz w:val="21"/>
                <w:szCs w:val="21"/>
              </w:rPr>
            </w:pPr>
            <w:r>
              <w:rPr>
                <w:rFonts w:hint="eastAsia" w:ascii="仿宋" w:hAnsi="仿宋" w:eastAsia="仿宋" w:cs="Times New Roman"/>
                <w:color w:val="auto"/>
                <w:spacing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主要通风机系统</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《煤矿在用产品安全检测检验规范主要通风机系统》</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1205-2023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资料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安装及配置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喘振</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en-US"/>
              </w:rPr>
            </w:pPr>
            <w:r>
              <w:rPr>
                <w:rFonts w:hint="eastAsia" w:ascii="仿宋" w:hAnsi="仿宋" w:eastAsia="仿宋" w:cs="仿宋"/>
                <w:color w:val="auto"/>
                <w:spacing w:val="0"/>
                <w:sz w:val="21"/>
                <w:szCs w:val="21"/>
              </w:rPr>
              <w:t>风量、压力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通风机运行效率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电动机运行功率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振动速度有效值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电动机轴承、定子温度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电动机冷态绝缘电阻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接地电阻值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叶片与机壳(或保护圈)的间隙值</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空气压缩机</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《煤矿在用产品安全检测检验规范空气压缩机》</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1203-2023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文件资料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安装</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安全保护及辅助装置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技术性能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润滑油</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主排水系统</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《煤矿在用产品安全检测检验规范主排水系统》</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1204-2023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文件资料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系统配置与安装</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主排水泵</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接地电阻</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缠绕式提升机系统</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《煤矿在用产品安全检测检验规范缠绕式提升机系统》</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1207-2023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文件资料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机房或硐室</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井架、井口及井底</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提升装置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电气安全系统</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提升绞车系统</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《煤矿在用产品安全检测检验规范提升绞车系统》</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1206—2023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文件资料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机房或硐室</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井架、井口及井底</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提升装置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电气安全性能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带式输送机</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《煤矿在用带式输送机安全检测检验规范》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rPr>
              <w:t>10753-2021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电气系统</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信号装置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防护装置和警示标志</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带速</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加速度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运行平稳性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输送带运行状态</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制动装置和逆止装置</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带式输送机</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防撕裂保护装置</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《煤矿在用带式输送机安全检测检验规范》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rPr>
              <w:t>10753-2021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沿线紧急停车装置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防跑偏保护装置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防超速保护装置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驱动滚筒防打滑保护装置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堆煤保护装置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烟雾保护装置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温度监测、自动洒水装置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张紧力下降保护装置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软</w:t>
            </w:r>
            <w:r>
              <w:rPr>
                <w:rFonts w:hint="eastAsia" w:ascii="仿宋" w:hAnsi="仿宋" w:eastAsia="仿宋" w:cs="仿宋"/>
                <w:color w:val="auto"/>
                <w:spacing w:val="0"/>
                <w:sz w:val="21"/>
                <w:szCs w:val="21"/>
                <w:lang w:val="en-US" w:eastAsia="zh-CN"/>
              </w:rPr>
              <w:t>起动</w:t>
            </w:r>
            <w:r>
              <w:rPr>
                <w:rFonts w:hint="eastAsia" w:ascii="仿宋" w:hAnsi="仿宋" w:eastAsia="仿宋" w:cs="仿宋"/>
                <w:color w:val="auto"/>
                <w:spacing w:val="0"/>
                <w:sz w:val="21"/>
                <w:szCs w:val="21"/>
              </w:rPr>
              <w:t>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张紧装置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液压元件</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清扫器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液力偶合器传动介质</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跑车防护装置</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组成及设计检查</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《煤矿用跑车防护装置安全技术要求》</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GB</w:t>
            </w:r>
            <w:r>
              <w:rPr>
                <w:rFonts w:hint="eastAsia" w:ascii="仿宋" w:hAnsi="仿宋" w:eastAsia="仿宋" w:cs="仿宋"/>
                <w:color w:val="auto"/>
                <w:spacing w:val="0"/>
                <w:sz w:val="21"/>
                <w:szCs w:val="21"/>
              </w:rPr>
              <w:t>43068-2023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装置总装检查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功能检查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监控传感器灵敏度试验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钢丝绳检查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挡车栏荧光标志检查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收放机构负荷试验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安装使用说明书检查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标牌检查</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无轨胶轮车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结构要求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《煤矿在用无轨胶轮车安全检测检验规范》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rPr>
              <w:t>10756-2021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操作灵活性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消防装置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离地最小间隙</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常温启动性能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最小通过能力半径</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最大牵引力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运行速度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最大静制动力</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无轨胶轮车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制动距离</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《煤矿在用无轨胶轮车安全检测检验规范》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rPr>
              <w:t>10756-2021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坡道上的停车制动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爬坡能力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照明及信号灯</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警声装置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8.17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防爆</w:t>
            </w:r>
            <w:r>
              <w:rPr>
                <w:rFonts w:hint="eastAsia" w:ascii="仿宋" w:hAnsi="仿宋" w:eastAsia="仿宋" w:cs="仿宋"/>
                <w:color w:val="auto"/>
                <w:spacing w:val="0"/>
                <w:sz w:val="21"/>
                <w:szCs w:val="21"/>
              </w:rPr>
              <w:t>柴油机尾气中一氧化碳浓度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防爆</w:t>
            </w:r>
            <w:r>
              <w:rPr>
                <w:rFonts w:hint="eastAsia" w:ascii="仿宋" w:hAnsi="仿宋" w:eastAsia="仿宋" w:cs="仿宋"/>
                <w:color w:val="auto"/>
                <w:spacing w:val="0"/>
                <w:sz w:val="21"/>
                <w:szCs w:val="21"/>
              </w:rPr>
              <w:t>柴油机尾气中氮氧化物浓度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防爆蓄电池</w:t>
            </w:r>
            <w:r>
              <w:rPr>
                <w:rFonts w:hint="eastAsia" w:ascii="仿宋" w:hAnsi="仿宋" w:eastAsia="仿宋" w:cs="仿宋"/>
                <w:color w:val="auto"/>
                <w:spacing w:val="0"/>
                <w:sz w:val="21"/>
                <w:szCs w:val="21"/>
              </w:rPr>
              <w:t>电机车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《煤矿在用电机车检测检验规范》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rPr>
              <w:t>10049-2018</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制动性能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机械部件</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电气部件</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10</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隔爆型潜水电泵</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证件检查</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《煤矿用隔爆型潜水电泵》</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671-2005</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《煤矿安全规程》</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保护装置检查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接地标志的检查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电泵电缆长度检验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电泵的起动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电泵的输入功率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电泵的流量</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无极绳连续牵引车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w:t>
            </w:r>
            <w:r>
              <w:rPr>
                <w:rFonts w:hint="eastAsia" w:ascii="仿宋" w:hAnsi="仿宋" w:eastAsia="仿宋" w:cs="仿宋"/>
                <w:color w:val="auto"/>
                <w:spacing w:val="0"/>
                <w:sz w:val="21"/>
                <w:szCs w:val="21"/>
                <w:lang w:val="en-US" w:eastAsia="zh-CN"/>
              </w:rPr>
              <w:t>条件</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《无极绳连续牵引车》</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 xml:space="preserve">988—2006 </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基本要求</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使用性能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安全保护性能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5.4.5除外</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12</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架空乘人装置</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《煤矿在用架空乘人装置定期安全检测检验规范》NB/T 10755-2021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安全间距</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运行速度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空载运行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负载运行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钢丝绳</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钢丝绳导向装置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制动装置性能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托轮性能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12</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架空乘人装置</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抱索器安全系数</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《煤矿在用架空乘人装置定期安全检测检验规范》NB/T 10755-2021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抱索器运行性能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吊椅安全系数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吊椅运行性能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尾轮预张紧力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张紧装置运行性能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液压系统</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安全防护装置配置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安全防护装置性能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局部通风机</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安全证件审查</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《煤矿用局部通风机技术</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条件》</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222-2019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仅对安标证书、防爆合格证、摩擦火花合格证审查</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安全结构和措施检查</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电动机绕组冷态</w:t>
            </w: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机械运转试验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通风机流量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压力或静压</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电动机</w:t>
            </w:r>
            <w:r>
              <w:rPr>
                <w:rFonts w:hint="eastAsia" w:ascii="仿宋" w:hAnsi="仿宋" w:eastAsia="仿宋" w:cs="仿宋"/>
                <w:color w:val="auto"/>
                <w:spacing w:val="0"/>
                <w:sz w:val="21"/>
                <w:szCs w:val="21"/>
                <w:lang w:val="en-US" w:eastAsia="zh-CN"/>
              </w:rPr>
              <w:t>最大</w:t>
            </w:r>
            <w:r>
              <w:rPr>
                <w:rFonts w:hint="eastAsia" w:ascii="仿宋" w:hAnsi="仿宋" w:eastAsia="仿宋" w:cs="仿宋"/>
                <w:color w:val="auto"/>
                <w:spacing w:val="0"/>
                <w:sz w:val="21"/>
                <w:szCs w:val="21"/>
              </w:rPr>
              <w:t>输出功率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振动速度有效值</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只检运行工况点</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4</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隔爆水袋、水槽</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阻燃性能</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《煤矿用隔爆水槽和隔爆水袋通用技术条件》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157-1996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井下用</w:t>
            </w:r>
            <w:r>
              <w:rPr>
                <w:rFonts w:hint="eastAsia" w:ascii="仿宋" w:hAnsi="仿宋" w:eastAsia="仿宋" w:cs="仿宋"/>
                <w:color w:val="auto"/>
                <w:spacing w:val="0"/>
                <w:sz w:val="21"/>
                <w:szCs w:val="21"/>
              </w:rPr>
              <w:t>聚乙烯管材</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《煤矿井下用塑料管材》第1部分:聚乙烯管材</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558.1-2005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酒精喷灯燃烧</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带式输送机托辊</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《煤矿用带式输送机托辊技术条件》MT821-2006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阻燃性能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7</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井下用</w:t>
            </w:r>
            <w:r>
              <w:rPr>
                <w:rFonts w:hint="eastAsia" w:ascii="仿宋" w:hAnsi="仿宋" w:eastAsia="仿宋" w:cs="仿宋"/>
                <w:color w:val="auto"/>
                <w:spacing w:val="0"/>
                <w:sz w:val="21"/>
                <w:szCs w:val="21"/>
              </w:rPr>
              <w:t>塑料编织袋</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阻燃性</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《煤矿井下用塑料编织袋》</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1125—2011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8</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聚合物制品</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阻燃性</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《煤矿井下用聚合物制品阻燃抗静电性通用试验方法和判定规则》</w:t>
            </w:r>
            <w:r>
              <w:rPr>
                <w:rFonts w:hint="default" w:ascii="仿宋" w:hAnsi="仿宋" w:eastAsia="仿宋" w:cs="仿宋"/>
                <w:color w:val="auto"/>
                <w:spacing w:val="0"/>
                <w:sz w:val="21"/>
                <w:szCs w:val="21"/>
                <w:lang w:val="en-US" w:eastAsia="zh-CN"/>
              </w:rPr>
              <w:t>MT/T 113-1995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8</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19</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织物芯阻燃输送带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19</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《煤矿用织物芯阻燃输送带》</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914-2019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19</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滚筒摩擦性能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19</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喷灯燃烧性能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0</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钢丝绳芯阻燃输送带</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表面电阻</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《煤矿用钢丝绳芯阻燃输送带》</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668-2019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滚筒摩擦试验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酒精</w:t>
            </w:r>
            <w:r>
              <w:rPr>
                <w:rFonts w:hint="eastAsia" w:ascii="仿宋" w:hAnsi="仿宋" w:eastAsia="仿宋" w:cs="仿宋"/>
                <w:color w:val="auto"/>
                <w:spacing w:val="0"/>
                <w:sz w:val="21"/>
                <w:szCs w:val="21"/>
              </w:rPr>
              <w:t>喷灯燃烧试验</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1</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阻燃</w:t>
            </w:r>
            <w:r>
              <w:rPr>
                <w:rFonts w:hint="eastAsia" w:ascii="仿宋" w:hAnsi="仿宋" w:eastAsia="仿宋" w:cs="仿宋"/>
                <w:color w:val="auto"/>
                <w:spacing w:val="0"/>
                <w:sz w:val="21"/>
                <w:szCs w:val="21"/>
                <w:lang w:val="en-US" w:eastAsia="zh-CN"/>
              </w:rPr>
              <w:t>线</w:t>
            </w:r>
            <w:r>
              <w:rPr>
                <w:rFonts w:hint="eastAsia" w:ascii="仿宋" w:hAnsi="仿宋" w:eastAsia="仿宋" w:cs="仿宋"/>
                <w:color w:val="auto"/>
                <w:spacing w:val="0"/>
                <w:sz w:val="21"/>
                <w:szCs w:val="21"/>
              </w:rPr>
              <w:t>缆</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负载条件下的燃烧试验</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《煤矿用电缆阻燃性能的试验方法和判定规则》</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386-2011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单根电线电缆垂直燃烧试验</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2</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涂覆布</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阻燃性能</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《矿用涂覆布风筒通用技术条件》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164-2019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抗静电性能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矿用</w:t>
            </w:r>
            <w:r>
              <w:rPr>
                <w:rFonts w:hint="eastAsia" w:ascii="仿宋" w:hAnsi="仿宋" w:eastAsia="仿宋" w:cs="仿宋"/>
                <w:color w:val="auto"/>
                <w:spacing w:val="0"/>
                <w:sz w:val="21"/>
                <w:szCs w:val="21"/>
              </w:rPr>
              <w:t>钢丝绳(缆)</w:t>
            </w:r>
            <w:r>
              <w:rPr>
                <w:rFonts w:hint="eastAsia" w:ascii="仿宋" w:hAnsi="仿宋" w:eastAsia="仿宋" w:cs="仿宋"/>
                <w:color w:val="auto"/>
                <w:spacing w:val="0"/>
                <w:sz w:val="21"/>
                <w:szCs w:val="21"/>
                <w:lang w:eastAsia="zh-CN"/>
              </w:rPr>
              <w:t>（</w:t>
            </w:r>
            <w:r>
              <w:rPr>
                <w:rFonts w:hint="eastAsia" w:ascii="仿宋" w:hAnsi="仿宋" w:eastAsia="仿宋" w:cs="仿宋"/>
                <w:color w:val="auto"/>
                <w:spacing w:val="0"/>
                <w:sz w:val="21"/>
                <w:szCs w:val="21"/>
              </w:rPr>
              <w:t>在线无损定量检测</w:t>
            </w:r>
            <w:r>
              <w:rPr>
                <w:rFonts w:hint="eastAsia" w:ascii="仿宋" w:hAnsi="仿宋" w:eastAsia="仿宋" w:cs="仿宋"/>
                <w:color w:val="auto"/>
                <w:spacing w:val="0"/>
                <w:sz w:val="21"/>
                <w:szCs w:val="21"/>
                <w:lang w:eastAsia="zh-CN"/>
              </w:rPr>
              <w:t>）</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面积损失</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《钢丝绳(缆)在线无损定量检测方法和判定规则》</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970-2005</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《铁磁性钢丝绳电磁检测方法》GB/T 21837-2023</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损伤点的数量</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4</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通风机叶片</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非线状(簇状)缺陷</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《无损检测渗透检测》</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JB/T9218-2015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线状缺陷</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点线状缺陷</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钢锻件（轴类）</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单个（点状）不连续缺陷（当量平底孔直径）</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《钢锻件超声检测方法》</w:t>
            </w:r>
          </w:p>
          <w:p>
            <w:pPr>
              <w:adjustRightInd w:val="0"/>
              <w:snapToGrid w:val="0"/>
              <w:spacing w:line="240" w:lineRule="auto"/>
              <w:ind w:left="-77" w:leftChars="-25" w:right="-77" w:rightChars="-25"/>
              <w:jc w:val="center"/>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GB/T6402-20</w:t>
            </w:r>
            <w:r>
              <w:rPr>
                <w:rFonts w:hint="eastAsia" w:ascii="仿宋" w:hAnsi="仿宋" w:eastAsia="仿宋" w:cs="仿宋"/>
                <w:color w:val="auto"/>
                <w:spacing w:val="0"/>
                <w:sz w:val="21"/>
                <w:szCs w:val="21"/>
                <w:lang w:val="en-US" w:eastAsia="zh-CN"/>
              </w:rPr>
              <w:t>24</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《矿用提升容器重要承载件无损探伤方法与验收规范》</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684-1997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密集形的不连续缺陷（当量平底孔直径）</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连接链</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外观检查</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《煤矿在用窄轨车辆连接链检验规范》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1112-2014</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二倍最大静荷重试验时的永久伸长率</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7</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连接插销</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外观检查</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《煤矿在用窄轨车辆连接插销检验规范》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1113-2014</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2</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二倍最大静荷重试验时的</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永久弯曲变形量</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硫化氢检测报警仪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《煤矿用硫化氢检测报警仪》</w:t>
            </w:r>
          </w:p>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MT</w:t>
            </w:r>
            <w:r>
              <w:rPr>
                <w:rFonts w:hint="default" w:ascii="仿宋" w:hAnsi="仿宋" w:eastAsia="仿宋" w:cs="仿宋"/>
                <w:color w:val="auto"/>
                <w:spacing w:val="0"/>
                <w:sz w:val="21"/>
                <w:szCs w:val="21"/>
                <w:lang w:val="en-US"/>
              </w:rPr>
              <w:t>/T</w:t>
            </w:r>
            <w:r>
              <w:rPr>
                <w:rFonts w:hint="eastAsia" w:ascii="仿宋" w:hAnsi="仿宋" w:eastAsia="仿宋" w:cs="仿宋"/>
                <w:color w:val="auto"/>
                <w:spacing w:val="0"/>
                <w:sz w:val="21"/>
                <w:szCs w:val="21"/>
              </w:rPr>
              <w:t>1084-2008</w:t>
            </w: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基本功能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报警性能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工作位置变动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工作时间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电气安全性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29</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瓦斯抽放用热导式高浓度甲烷传感器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外观及结构检查</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《瓦斯抽放用热导式高浓度甲烷传感器》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6204-2006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遥控调校功能测试</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报警功能试验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29.</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介电强度试验</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水位传感器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结构</w:t>
            </w:r>
          </w:p>
        </w:tc>
        <w:tc>
          <w:tcPr>
            <w:tcW w:w="21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《矿用水位传感器通用技术条件》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825-1999</w:t>
            </w: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外观质量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最大工作电流</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报警方式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eastAsia="zh-CN"/>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1</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管道瓦斯抽放综合参数测定仪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《管道瓦斯抽放综合参数测定仪技术条件》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lang w:val="en-US" w:eastAsia="zh-CN"/>
              </w:rPr>
              <w:t xml:space="preserve"> </w:t>
            </w:r>
            <w:r>
              <w:rPr>
                <w:rFonts w:hint="eastAsia" w:ascii="仿宋" w:hAnsi="仿宋" w:eastAsia="仿宋" w:cs="仿宋"/>
                <w:color w:val="auto"/>
                <w:spacing w:val="0"/>
                <w:sz w:val="21"/>
                <w:szCs w:val="21"/>
              </w:rPr>
              <w:t>642-1996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测量误差</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流量装置压差、绝对压力除外</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重要用途</w:t>
            </w:r>
            <w:r>
              <w:rPr>
                <w:rFonts w:hint="eastAsia" w:ascii="仿宋" w:hAnsi="仿宋" w:eastAsia="仿宋" w:cs="仿宋"/>
                <w:color w:val="auto"/>
                <w:spacing w:val="0"/>
                <w:sz w:val="21"/>
                <w:szCs w:val="21"/>
                <w:lang w:val="en-US" w:eastAsia="zh-CN"/>
              </w:rPr>
              <w:t>在用</w:t>
            </w:r>
            <w:r>
              <w:rPr>
                <w:rFonts w:hint="eastAsia" w:ascii="仿宋" w:hAnsi="仿宋" w:eastAsia="仿宋" w:cs="仿宋"/>
                <w:color w:val="auto"/>
                <w:spacing w:val="0"/>
                <w:sz w:val="21"/>
                <w:szCs w:val="21"/>
              </w:rPr>
              <w:t>钢丝绳</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钢丝绳直径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《煤矿重要用途钢丝绳性能测定方法及判定规则》</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717-2019</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《煤矿安全规程》</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钢丝破断拉力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钢丝平均抗拉强度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钢丝反复弯曲次数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不合格钢丝断面积</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安全系数</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重要用途钢丝绳</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《煤矿重要用途钢丝绳验收技术条件》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716-2019</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《煤矿安全规程》</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钢丝绳直径偏差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钢丝直径偏差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抗拉强度及钢丝破断拉力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钢丝反复弯曲次数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拆股钢丝扭转次数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合格条件</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钢丝破断拉力总和</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煤矿</w:t>
            </w:r>
            <w:r>
              <w:rPr>
                <w:rFonts w:hint="eastAsia" w:ascii="仿宋" w:hAnsi="仿宋" w:eastAsia="仿宋" w:cs="仿宋"/>
                <w:color w:val="auto"/>
                <w:spacing w:val="0"/>
                <w:sz w:val="21"/>
                <w:szCs w:val="21"/>
              </w:rPr>
              <w:t>安全监测监控系统</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《煤矿安全监控系统及检测仪器使用管理规范》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1029-2019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设计和安装</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甲烷传感器的设置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其他传感器的设置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煤矿安全监控系统及联网信息处理</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管理制度与技术资料</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单轨吊</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一般要求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《煤矿在用单轨吊车安全性能检测检验规范》</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NB/T</w:t>
            </w:r>
            <w:r>
              <w:rPr>
                <w:rFonts w:hint="eastAsia" w:ascii="仿宋" w:hAnsi="仿宋" w:eastAsia="仿宋" w:cs="仿宋"/>
                <w:color w:val="auto"/>
                <w:spacing w:val="0"/>
                <w:sz w:val="21"/>
                <w:szCs w:val="21"/>
                <w:lang w:val="en-US" w:eastAsia="zh-CN"/>
              </w:rPr>
              <w:t xml:space="preserve"> </w:t>
            </w:r>
            <w:r>
              <w:rPr>
                <w:rFonts w:hint="eastAsia" w:ascii="仿宋" w:hAnsi="仿宋" w:eastAsia="仿宋" w:cs="仿宋"/>
                <w:color w:val="auto"/>
                <w:spacing w:val="0"/>
                <w:sz w:val="21"/>
                <w:szCs w:val="21"/>
              </w:rPr>
              <w:t>10176-2019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使用性能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制动性能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照明、信号与通信</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安全保护装置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配套设施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瓦斯抽放泵</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证书</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《水环真空泵和水环压缩机试验方法》GB/T13929-2024</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《煤矿安全规程》</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外观质量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气体流量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进气温度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大气压力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吸入压力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排出压力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转速</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输入功率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轴功率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等温压缩效率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振动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安全设施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直读式粉尘浓度测量仪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外观与结构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《直读式粉尘浓度测量仪表通用技术条件》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lang w:val="en-US" w:eastAsia="zh-CN"/>
              </w:rPr>
              <w:t xml:space="preserve"> </w:t>
            </w:r>
            <w:r>
              <w:rPr>
                <w:rFonts w:hint="eastAsia" w:ascii="仿宋" w:hAnsi="仿宋" w:eastAsia="仿宋" w:cs="仿宋"/>
                <w:color w:val="auto"/>
                <w:spacing w:val="0"/>
                <w:sz w:val="21"/>
                <w:szCs w:val="21"/>
              </w:rPr>
              <w:t>163-2019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测量范围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测量相对误差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稳定性相对误差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default" w:ascii="仿宋" w:hAnsi="仿宋" w:eastAsia="仿宋" w:cs="仿宋"/>
                <w:color w:val="auto"/>
                <w:spacing w:val="0"/>
                <w:sz w:val="21"/>
                <w:szCs w:val="21"/>
                <w:lang w:val="en-US" w:eastAsia="zh-CN"/>
              </w:rPr>
              <w:t>仅做有</w:t>
            </w:r>
            <w:r>
              <w:rPr>
                <w:rFonts w:hint="eastAsia" w:ascii="仿宋" w:hAnsi="仿宋" w:eastAsia="仿宋" w:cs="仿宋"/>
                <w:color w:val="auto"/>
                <w:spacing w:val="0"/>
                <w:sz w:val="21"/>
                <w:szCs w:val="21"/>
                <w:lang w:val="en-US" w:eastAsia="zh-CN"/>
              </w:rPr>
              <w:t>校</w:t>
            </w:r>
            <w:r>
              <w:rPr>
                <w:rFonts w:hint="default" w:ascii="仿宋" w:hAnsi="仿宋" w:eastAsia="仿宋" w:cs="仿宋"/>
                <w:color w:val="auto"/>
                <w:spacing w:val="0"/>
                <w:sz w:val="21"/>
                <w:szCs w:val="21"/>
                <w:lang w:val="en-US" w:eastAsia="zh-CN"/>
              </w:rPr>
              <w:t>准块</w:t>
            </w:r>
            <w:r>
              <w:rPr>
                <w:rFonts w:hint="eastAsia" w:ascii="仿宋" w:hAnsi="仿宋" w:eastAsia="仿宋" w:cs="仿宋"/>
                <w:color w:val="auto"/>
                <w:spacing w:val="0"/>
                <w:sz w:val="21"/>
                <w:szCs w:val="21"/>
                <w:lang w:val="en-US" w:eastAsia="zh-CN"/>
              </w:rPr>
              <w:t>（板）</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p>
        </w:tc>
        <w:tc>
          <w:tcPr>
            <w:tcW w:w="992" w:type="dxa"/>
            <w:vMerge w:val="restart"/>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直读式粉尘浓度测量仪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采样时间误差</w:t>
            </w:r>
          </w:p>
        </w:tc>
        <w:tc>
          <w:tcPr>
            <w:tcW w:w="2126" w:type="dxa"/>
            <w:vMerge w:val="restart"/>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《直读式粉尘浓度测量仪表通用技术条件》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lang w:val="en-US" w:eastAsia="zh-CN"/>
              </w:rPr>
              <w:t xml:space="preserve"> </w:t>
            </w:r>
            <w:r>
              <w:rPr>
                <w:rFonts w:hint="eastAsia" w:ascii="仿宋" w:hAnsi="仿宋" w:eastAsia="仿宋" w:cs="仿宋"/>
                <w:color w:val="auto"/>
                <w:spacing w:val="0"/>
                <w:sz w:val="21"/>
                <w:szCs w:val="21"/>
              </w:rPr>
              <w:t>163-2019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3</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绝缘</w:t>
            </w:r>
            <w:r>
              <w:rPr>
                <w:rFonts w:hint="eastAsia" w:ascii="仿宋" w:hAnsi="仿宋" w:eastAsia="仿宋" w:cs="仿宋"/>
                <w:color w:val="auto"/>
                <w:spacing w:val="0"/>
                <w:sz w:val="21"/>
                <w:szCs w:val="21"/>
              </w:rPr>
              <w:t>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p>
        </w:tc>
        <w:tc>
          <w:tcPr>
            <w:tcW w:w="992" w:type="dxa"/>
            <w:vMerge w:val="restart"/>
            <w:tcBorders>
              <w:top w:val="single" w:color="auto" w:sz="4" w:space="0"/>
            </w:tcBorders>
            <w:shd w:val="clear" w:color="auto" w:fill="auto"/>
            <w:vAlign w:val="center"/>
          </w:tcPr>
          <w:p>
            <w:pPr>
              <w:adjustRightInd w:val="0"/>
              <w:snapToGrid w:val="0"/>
              <w:spacing w:line="240" w:lineRule="auto"/>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6"/>
                <w:sz w:val="21"/>
                <w:szCs w:val="21"/>
                <w:lang w:val="en-US" w:eastAsia="zh-CN"/>
              </w:rPr>
              <w:t>红外（激光）甲烷传感器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外观、结构及气室防护</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《煤矿用非色散红外甲烷传感器》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KA</w:t>
            </w:r>
            <w:r>
              <w:rPr>
                <w:rFonts w:hint="default" w:ascii="仿宋" w:hAnsi="仿宋" w:eastAsia="仿宋" w:cs="仿宋"/>
                <w:color w:val="auto"/>
                <w:spacing w:val="0"/>
                <w:sz w:val="21"/>
                <w:szCs w:val="21"/>
                <w:lang w:val="en-US"/>
              </w:rPr>
              <w:t xml:space="preserve">/T </w:t>
            </w:r>
            <w:r>
              <w:rPr>
                <w:rFonts w:hint="eastAsia" w:ascii="仿宋" w:hAnsi="仿宋" w:eastAsia="仿宋" w:cs="仿宋"/>
                <w:color w:val="auto"/>
                <w:spacing w:val="0"/>
                <w:sz w:val="21"/>
                <w:szCs w:val="21"/>
              </w:rPr>
              <w:t>6211-2008</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最小分辨率</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粉尘采样器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外观与结构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《粉尘采样器》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GB/T20964-2007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采样流量稳定性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负载能力</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w:t>
            </w:r>
            <w:r>
              <w:rPr>
                <w:rFonts w:hint="eastAsia" w:ascii="仿宋" w:hAnsi="仿宋" w:eastAsia="仿宋" w:cs="仿宋"/>
                <w:color w:val="auto"/>
                <w:spacing w:val="0"/>
                <w:sz w:val="21"/>
                <w:szCs w:val="21"/>
                <w:lang w:val="en-US" w:eastAsia="zh-CN"/>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w:t>
            </w:r>
            <w:r>
              <w:rPr>
                <w:rFonts w:hint="eastAsia" w:ascii="仿宋" w:hAnsi="仿宋" w:eastAsia="仿宋" w:cs="仿宋"/>
                <w:color w:val="auto"/>
                <w:spacing w:val="0"/>
                <w:sz w:val="21"/>
                <w:szCs w:val="21"/>
                <w:lang w:val="en-US" w:eastAsia="zh-CN"/>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采样头气密性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w:t>
            </w:r>
            <w:r>
              <w:rPr>
                <w:rFonts w:hint="eastAsia" w:ascii="仿宋" w:hAnsi="仿宋" w:eastAsia="仿宋" w:cs="仿宋"/>
                <w:color w:val="auto"/>
                <w:spacing w:val="0"/>
                <w:sz w:val="21"/>
                <w:szCs w:val="21"/>
                <w:lang w:val="en-US" w:eastAsia="zh-CN"/>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流量计准确度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采样时间误差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采样体积显示误差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r>
              <w:rPr>
                <w:rFonts w:hint="eastAsia" w:ascii="仿宋" w:hAnsi="仿宋" w:eastAsia="仿宋" w:cs="仿宋"/>
                <w:color w:val="auto"/>
                <w:spacing w:val="0"/>
                <w:sz w:val="21"/>
                <w:szCs w:val="21"/>
              </w:rPr>
              <w:t>.1</w:t>
            </w:r>
            <w:r>
              <w:rPr>
                <w:rFonts w:hint="eastAsia" w:ascii="仿宋" w:hAnsi="仿宋" w:eastAsia="仿宋" w:cs="仿宋"/>
                <w:color w:val="auto"/>
                <w:spacing w:val="0"/>
                <w:sz w:val="21"/>
                <w:szCs w:val="21"/>
                <w:lang w:val="en-US" w:eastAsia="zh-CN"/>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40</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风速表</w:t>
            </w:r>
            <w:r>
              <w:rPr>
                <w:rFonts w:hint="eastAsia" w:ascii="仿宋" w:hAnsi="仿宋" w:eastAsia="仿宋" w:cs="仿宋"/>
                <w:color w:val="auto"/>
                <w:spacing w:val="0"/>
                <w:sz w:val="21"/>
                <w:szCs w:val="21"/>
                <w:lang w:eastAsia="zh-CN"/>
              </w:rPr>
              <w:t>（不</w:t>
            </w:r>
            <w:r>
              <w:rPr>
                <w:rFonts w:hint="eastAsia" w:ascii="仿宋" w:hAnsi="仿宋" w:eastAsia="仿宋" w:cs="仿宋"/>
                <w:color w:val="auto"/>
                <w:spacing w:val="0"/>
                <w:sz w:val="21"/>
                <w:szCs w:val="21"/>
                <w:lang w:val="en-US" w:eastAsia="zh-CN"/>
              </w:rPr>
              <w:t>含机械式风表</w:t>
            </w:r>
            <w:r>
              <w:rPr>
                <w:rFonts w:hint="eastAsia" w:ascii="仿宋" w:hAnsi="仿宋" w:eastAsia="仿宋" w:cs="仿宋"/>
                <w:color w:val="auto"/>
                <w:spacing w:val="0"/>
                <w:sz w:val="21"/>
                <w:szCs w:val="21"/>
                <w:lang w:eastAsia="zh-CN"/>
              </w:rPr>
              <w:t>）</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40</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外观和运动零/部件</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《煤矿用风速表》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380-2007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40</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起动风速</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风速测量范围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风速误差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计时误差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高低浓度甲烷传感器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《煤矿用高低浓度甲烷传感器》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6206-2006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遥控调校功能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992" w:type="dxa"/>
            <w:vMerge w:val="continue"/>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restart"/>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《煤矿用高低浓度甲烷传感器》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6206-2006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转换点附加误差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电化学</w:t>
            </w:r>
            <w:r>
              <w:rPr>
                <w:rFonts w:hint="eastAsia" w:ascii="仿宋" w:hAnsi="仿宋" w:eastAsia="仿宋" w:cs="仿宋"/>
                <w:color w:val="auto"/>
                <w:spacing w:val="0"/>
                <w:sz w:val="21"/>
                <w:szCs w:val="21"/>
              </w:rPr>
              <w:t>一氧化碳传感器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《煤矿用电化学式一氧化碳传感器》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6205-2006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断电保护措施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遥控调校功能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二氧化碳传感器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r>
              <w:rPr>
                <w:rFonts w:hint="eastAsia" w:ascii="仿宋" w:hAnsi="仿宋" w:eastAsia="仿宋" w:cs="仿宋"/>
                <w:color w:val="auto"/>
                <w:spacing w:val="0"/>
                <w:sz w:val="21"/>
                <w:szCs w:val="21"/>
                <w:lang w:val="en-US" w:eastAsia="zh-CN"/>
              </w:rPr>
              <w:t>要求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《矿用二氧化碳传感器通用技术条件》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1052-2008</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遥控调校功能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低浓度载体催化式甲烷传感器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《煤矿用低浓度载体催化式甲烷传感器》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6203-2006</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遥控调校功能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温度传感器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《煤矿用温度传感器通用技术条件》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381-2007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工作电流</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差</w:t>
            </w:r>
            <w:r>
              <w:rPr>
                <w:rFonts w:hint="eastAsia" w:ascii="仿宋" w:hAnsi="仿宋" w:eastAsia="仿宋" w:cs="仿宋"/>
                <w:color w:val="auto"/>
                <w:spacing w:val="0"/>
                <w:sz w:val="21"/>
                <w:szCs w:val="21"/>
              </w:rPr>
              <w:t>压传感器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《矿用差压传感器通用技术条件》</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393-1995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重复性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回程误差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密封性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过载性能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电源波动性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6</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绝缘耐压</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电化学</w:t>
            </w:r>
            <w:r>
              <w:rPr>
                <w:rFonts w:hint="eastAsia" w:ascii="仿宋" w:hAnsi="仿宋" w:eastAsia="仿宋" w:cs="仿宋"/>
                <w:color w:val="auto"/>
                <w:spacing w:val="0"/>
                <w:sz w:val="21"/>
                <w:szCs w:val="21"/>
              </w:rPr>
              <w:t>氧气传感器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《煤矿用电化学式氧气传感器技术条件》</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447-1995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4</w:t>
            </w:r>
            <w:r>
              <w:rPr>
                <w:rFonts w:hint="eastAsia" w:ascii="仿宋" w:hAnsi="仿宋" w:eastAsia="仿宋" w:cs="仿宋"/>
                <w:color w:val="auto"/>
                <w:spacing w:val="0"/>
                <w:sz w:val="21"/>
                <w:szCs w:val="21"/>
                <w:lang w:val="en-US" w:eastAsia="zh-CN"/>
              </w:rPr>
              <w:t>7</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eastAsia="zh-CN"/>
              </w:rPr>
              <w:t>作业场所环境气体检测报警仪器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功能</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w:t>
            </w:r>
            <w:r>
              <w:rPr>
                <w:rFonts w:hint="eastAsia" w:ascii="仿宋" w:hAnsi="仿宋" w:eastAsia="仿宋" w:cs="仿宋"/>
                <w:color w:val="auto"/>
                <w:spacing w:val="0"/>
                <w:sz w:val="21"/>
                <w:szCs w:val="21"/>
                <w:lang w:eastAsia="zh-CN"/>
              </w:rPr>
              <w:t>作业场所环境气体检测报警仪器</w:t>
            </w:r>
            <w:r>
              <w:rPr>
                <w:rFonts w:hint="eastAsia" w:ascii="仿宋" w:hAnsi="仿宋" w:eastAsia="仿宋" w:cs="仿宋"/>
                <w:color w:val="auto"/>
                <w:spacing w:val="0"/>
                <w:sz w:val="21"/>
                <w:szCs w:val="21"/>
              </w:rPr>
              <w:t>通用技术要求》</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GB</w:t>
            </w:r>
            <w:r>
              <w:rPr>
                <w:rFonts w:hint="eastAsia" w:ascii="仿宋" w:hAnsi="仿宋" w:eastAsia="仿宋" w:cs="仿宋"/>
                <w:color w:val="auto"/>
                <w:spacing w:val="0"/>
                <w:sz w:val="21"/>
                <w:szCs w:val="21"/>
                <w:lang w:eastAsia="zh-CN"/>
              </w:rPr>
              <w:t>12358-2024</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检测误差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重复性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耐压</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49</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风速传感器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《矿用风速传感器》</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448-2008</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工作电压范围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烟雾传感器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《矿用烟雾传感器通用技术条件》</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382-2011</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主要技术参数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0</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工频耐压</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光干涉式甲烷测定器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《光干涉式甲烷测定器》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28-2005</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干涉条纹</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气密性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1</w:t>
            </w:r>
            <w:r>
              <w:rPr>
                <w:rFonts w:hint="eastAsia" w:ascii="仿宋" w:hAnsi="仿宋" w:eastAsia="仿宋" w:cs="仿宋"/>
                <w:color w:val="auto"/>
                <w:spacing w:val="0"/>
                <w:sz w:val="21"/>
                <w:szCs w:val="21"/>
              </w:rPr>
              <w:t>.</w:t>
            </w:r>
            <w:r>
              <w:rPr>
                <w:rFonts w:hint="eastAsia" w:ascii="仿宋" w:hAnsi="仿宋" w:eastAsia="仿宋" w:cs="仿宋"/>
                <w:color w:val="auto"/>
                <w:spacing w:val="0"/>
                <w:sz w:val="21"/>
                <w:szCs w:val="21"/>
                <w:lang w:val="en-US" w:eastAsia="zh-CN"/>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扩散试验</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自由跌落</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便携式</w:t>
            </w:r>
            <w:r>
              <w:rPr>
                <w:rFonts w:hint="eastAsia" w:ascii="仿宋" w:hAnsi="仿宋" w:eastAsia="仿宋" w:cs="仿宋"/>
                <w:color w:val="auto"/>
                <w:spacing w:val="0"/>
                <w:sz w:val="21"/>
                <w:szCs w:val="21"/>
                <w:lang w:val="en-US" w:eastAsia="zh-CN"/>
              </w:rPr>
              <w:t>载体催化</w:t>
            </w:r>
            <w:r>
              <w:rPr>
                <w:rFonts w:hint="eastAsia" w:ascii="仿宋" w:hAnsi="仿宋" w:eastAsia="仿宋" w:cs="仿宋"/>
                <w:color w:val="auto"/>
                <w:spacing w:val="0"/>
                <w:sz w:val="21"/>
                <w:szCs w:val="21"/>
              </w:rPr>
              <w:t>甲烷检测报警仪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《便携式</w:t>
            </w:r>
            <w:r>
              <w:rPr>
                <w:rFonts w:hint="eastAsia" w:ascii="仿宋" w:hAnsi="仿宋" w:eastAsia="仿宋" w:cs="仿宋"/>
                <w:color w:val="auto"/>
                <w:spacing w:val="0"/>
                <w:sz w:val="21"/>
                <w:szCs w:val="21"/>
                <w:lang w:val="en-US" w:eastAsia="zh-CN"/>
              </w:rPr>
              <w:t>载体催化</w:t>
            </w:r>
            <w:r>
              <w:rPr>
                <w:rFonts w:hint="eastAsia" w:ascii="仿宋" w:hAnsi="仿宋" w:eastAsia="仿宋" w:cs="仿宋"/>
                <w:color w:val="auto"/>
                <w:spacing w:val="0"/>
                <w:sz w:val="21"/>
                <w:szCs w:val="21"/>
              </w:rPr>
              <w:t>甲烷检测报警仪》</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6207-2007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电源及充电</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显示值稳定性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p>
        </w:tc>
        <w:tc>
          <w:tcPr>
            <w:tcW w:w="992" w:type="dxa"/>
            <w:vMerge w:val="restart"/>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rPr>
              <w:t>便携式</w:t>
            </w:r>
            <w:r>
              <w:rPr>
                <w:rFonts w:hint="eastAsia" w:ascii="仿宋" w:hAnsi="仿宋" w:eastAsia="仿宋" w:cs="仿宋"/>
                <w:color w:val="auto"/>
                <w:spacing w:val="0"/>
                <w:sz w:val="21"/>
                <w:szCs w:val="21"/>
                <w:lang w:val="en-US" w:eastAsia="zh-CN"/>
              </w:rPr>
              <w:t>载体催化</w:t>
            </w:r>
            <w:r>
              <w:rPr>
                <w:rFonts w:hint="eastAsia" w:ascii="仿宋" w:hAnsi="仿宋" w:eastAsia="仿宋" w:cs="仿宋"/>
                <w:color w:val="auto"/>
                <w:spacing w:val="0"/>
                <w:sz w:val="21"/>
                <w:szCs w:val="21"/>
              </w:rPr>
              <w:t>甲烷检测报警仪</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位置变动</w:t>
            </w:r>
          </w:p>
        </w:tc>
        <w:tc>
          <w:tcPr>
            <w:tcW w:w="2126" w:type="dxa"/>
            <w:vMerge w:val="restart"/>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《便携式</w:t>
            </w:r>
            <w:r>
              <w:rPr>
                <w:rFonts w:hint="eastAsia" w:ascii="仿宋" w:hAnsi="仿宋" w:eastAsia="仿宋" w:cs="仿宋"/>
                <w:color w:val="auto"/>
                <w:spacing w:val="0"/>
                <w:sz w:val="21"/>
                <w:szCs w:val="21"/>
                <w:lang w:val="en-US" w:eastAsia="zh-CN"/>
              </w:rPr>
              <w:t>载体催化</w:t>
            </w:r>
            <w:r>
              <w:rPr>
                <w:rFonts w:hint="eastAsia" w:ascii="仿宋" w:hAnsi="仿宋" w:eastAsia="仿宋" w:cs="仿宋"/>
                <w:color w:val="auto"/>
                <w:spacing w:val="0"/>
                <w:sz w:val="21"/>
                <w:szCs w:val="21"/>
              </w:rPr>
              <w:t>甲烷检测报警仪》</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AQ</w:t>
            </w:r>
            <w:r>
              <w:rPr>
                <w:rFonts w:hint="eastAsia" w:ascii="仿宋" w:hAnsi="仿宋" w:eastAsia="仿宋" w:cs="仿宋"/>
                <w:color w:val="auto"/>
                <w:spacing w:val="0"/>
                <w:sz w:val="21"/>
                <w:szCs w:val="21"/>
              </w:rPr>
              <w:t>6207-2007</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2</w:t>
            </w:r>
            <w:r>
              <w:rPr>
                <w:rFonts w:hint="eastAsia" w:ascii="仿宋" w:hAnsi="仿宋" w:eastAsia="仿宋" w:cs="仿宋"/>
                <w:color w:val="auto"/>
                <w:spacing w:val="0"/>
                <w:sz w:val="21"/>
                <w:szCs w:val="21"/>
              </w:rPr>
              <w:t>.11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便携式电化学式</w:t>
            </w:r>
            <w:r>
              <w:rPr>
                <w:rFonts w:hint="eastAsia" w:ascii="仿宋" w:hAnsi="仿宋" w:eastAsia="仿宋" w:cs="仿宋"/>
                <w:color w:val="auto"/>
                <w:spacing w:val="0"/>
                <w:sz w:val="21"/>
                <w:szCs w:val="21"/>
              </w:rPr>
              <w:t>氧气测定器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《煤矿用携带型电化学式氧气测定器》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704-2008</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电源及充电功能</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零点漂移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工作位置变动</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3</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电气安全</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p>
        </w:tc>
        <w:tc>
          <w:tcPr>
            <w:tcW w:w="992"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携带型电化学式一氧化碳测定器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外观及结构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《煤矿用携带型电化学一氧化碳测定器》</w:t>
            </w: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703-2008</w:t>
            </w:r>
            <w:bookmarkStart w:id="0" w:name="_GoBack"/>
            <w:bookmarkEnd w:id="0"/>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基本功能</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电源及充电功能</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零点漂移</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报警值与设定值差值</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报警声级强度</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992" w:type="dxa"/>
            <w:vMerge w:val="continue"/>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响应时间</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工作位置变动</w:t>
            </w:r>
          </w:p>
        </w:tc>
        <w:tc>
          <w:tcPr>
            <w:tcW w:w="2126" w:type="dxa"/>
            <w:vMerge w:val="continue"/>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4</w:t>
            </w:r>
            <w:r>
              <w:rPr>
                <w:rFonts w:hint="eastAsia" w:ascii="仿宋" w:hAnsi="仿宋" w:eastAsia="仿宋" w:cs="仿宋"/>
                <w:color w:val="auto"/>
                <w:spacing w:val="0"/>
                <w:sz w:val="21"/>
                <w:szCs w:val="21"/>
              </w:rPr>
              <w:t>.10</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电气安全</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p>
        </w:tc>
        <w:tc>
          <w:tcPr>
            <w:tcW w:w="992" w:type="dxa"/>
            <w:vMerge w:val="restart"/>
            <w:tcBorders>
              <w:top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粉尘浓度传感器</w:t>
            </w: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.1</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外观与结构</w:t>
            </w:r>
          </w:p>
        </w:tc>
        <w:tc>
          <w:tcPr>
            <w:tcW w:w="2126" w:type="dxa"/>
            <w:vMerge w:val="restart"/>
            <w:tcBorders>
              <w:top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rPr>
              <w:t>《煤矿用粉尘浓度传感器》</w:t>
            </w:r>
          </w:p>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eastAsia="zh-CN"/>
              </w:rPr>
              <w:t>MT/T</w:t>
            </w:r>
            <w:r>
              <w:rPr>
                <w:rFonts w:hint="eastAsia" w:ascii="仿宋" w:hAnsi="仿宋" w:eastAsia="仿宋" w:cs="仿宋"/>
                <w:color w:val="auto"/>
                <w:spacing w:val="0"/>
                <w:sz w:val="21"/>
                <w:szCs w:val="21"/>
              </w:rPr>
              <w:t>1102-2009</w:t>
            </w: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.2</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零位稳定性</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.3</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基本误差</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.4</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传输距离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.5</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最大启动电流</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.6</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最大工作电流</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.7</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工作噪声</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.8</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绝缘电阻</w:t>
            </w:r>
          </w:p>
        </w:tc>
        <w:tc>
          <w:tcPr>
            <w:tcW w:w="2126" w:type="dxa"/>
            <w:vMerge w:val="continue"/>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r>
              <w:rPr>
                <w:rFonts w:hint="eastAsia" w:ascii="仿宋" w:hAnsi="仿宋" w:eastAsia="仿宋" w:cs="仿宋"/>
                <w:color w:val="auto"/>
                <w:spacing w:val="0"/>
                <w:sz w:val="21"/>
                <w:szCs w:val="21"/>
                <w:lang w:val="en-US" w:eastAsia="zh-CN"/>
              </w:rPr>
              <w:t>只做常态下</w:t>
            </w: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992"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p>
        </w:tc>
        <w:tc>
          <w:tcPr>
            <w:tcW w:w="709"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5</w:t>
            </w:r>
            <w:r>
              <w:rPr>
                <w:rFonts w:hint="eastAsia" w:ascii="仿宋" w:hAnsi="仿宋" w:eastAsia="仿宋" w:cs="仿宋"/>
                <w:color w:val="auto"/>
                <w:spacing w:val="0"/>
                <w:sz w:val="21"/>
                <w:szCs w:val="21"/>
                <w:lang w:val="en-US" w:eastAsia="zh-CN"/>
              </w:rPr>
              <w:t>5</w:t>
            </w:r>
            <w:r>
              <w:rPr>
                <w:rFonts w:hint="eastAsia" w:ascii="仿宋" w:hAnsi="仿宋" w:eastAsia="仿宋" w:cs="仿宋"/>
                <w:color w:val="auto"/>
                <w:spacing w:val="0"/>
                <w:sz w:val="21"/>
                <w:szCs w:val="21"/>
              </w:rPr>
              <w:t>.9</w:t>
            </w:r>
          </w:p>
        </w:tc>
        <w:tc>
          <w:tcPr>
            <w:tcW w:w="3260" w:type="dxa"/>
            <w:tcBorders>
              <w:top w:val="single" w:color="auto" w:sz="4" w:space="0"/>
              <w:bottom w:val="single" w:color="auto" w:sz="4" w:space="0"/>
            </w:tcBorders>
            <w:shd w:val="clear" w:color="auto" w:fill="auto"/>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rPr>
              <w:t>介电强度</w:t>
            </w:r>
          </w:p>
        </w:tc>
        <w:tc>
          <w:tcPr>
            <w:tcW w:w="2126" w:type="dxa"/>
            <w:vMerge w:val="continue"/>
            <w:tcBorders>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1134"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c>
          <w:tcPr>
            <w:tcW w:w="709" w:type="dxa"/>
            <w:tcBorders>
              <w:top w:val="single" w:color="auto" w:sz="4" w:space="0"/>
              <w:bottom w:val="single" w:color="auto" w:sz="4" w:space="0"/>
            </w:tcBorders>
            <w:vAlign w:val="center"/>
          </w:tcPr>
          <w:p>
            <w:pPr>
              <w:adjustRightInd w:val="0"/>
              <w:snapToGrid w:val="0"/>
              <w:spacing w:line="240" w:lineRule="auto"/>
              <w:ind w:left="-77" w:leftChars="-25" w:right="-77" w:rightChars="-25"/>
              <w:jc w:val="center"/>
              <w:rPr>
                <w:rFonts w:hint="eastAsia" w:ascii="仿宋" w:hAnsi="仿宋" w:eastAsia="仿宋" w:cs="仿宋"/>
                <w:color w:val="auto"/>
                <w:spacing w:val="0"/>
                <w:sz w:val="21"/>
                <w:szCs w:val="21"/>
              </w:rPr>
            </w:pPr>
          </w:p>
        </w:tc>
      </w:tr>
    </w:tbl>
    <w:p>
      <w:pPr>
        <w:ind w:left="213" w:leftChars="17" w:hanging="161" w:hangingChars="71"/>
        <w:jc w:val="center"/>
        <w:rPr>
          <w:rFonts w:ascii="仿宋_GB2312"/>
          <w:sz w:val="24"/>
          <w:szCs w:val="24"/>
        </w:rPr>
        <w:sectPr>
          <w:footerReference r:id="rId5" w:type="default"/>
          <w:pgSz w:w="11906" w:h="16838"/>
          <w:pgMar w:top="1440" w:right="1134" w:bottom="1440" w:left="1418" w:header="851" w:footer="992" w:gutter="0"/>
          <w:cols w:space="425" w:num="1"/>
          <w:docGrid w:type="lines" w:linePitch="312" w:charSpace="0"/>
        </w:sectPr>
      </w:pPr>
    </w:p>
    <w:p>
      <w:pPr>
        <w:widowControl w:val="0"/>
        <w:snapToGrid w:val="0"/>
        <w:jc w:val="center"/>
        <w:rPr>
          <w:rFonts w:ascii="Times New Roman" w:hAnsi="Times New Roman" w:eastAsia="方正小标宋简体" w:cs="Times New Roman"/>
          <w:bCs/>
          <w:spacing w:val="20"/>
          <w:kern w:val="2"/>
          <w:sz w:val="21"/>
          <w:szCs w:val="32"/>
          <w:lang w:val="en-US" w:eastAsia="zh-CN" w:bidi="ar-SA"/>
        </w:rPr>
      </w:pPr>
      <w:r>
        <w:rPr>
          <w:rFonts w:ascii="Times New Roman" w:hAnsi="Times New Roman" w:eastAsia="方正小标宋简体" w:cs="Times New Roman"/>
          <w:bCs/>
          <w:spacing w:val="20"/>
          <w:kern w:val="2"/>
          <w:sz w:val="32"/>
          <w:szCs w:val="32"/>
          <w:lang w:val="en-US" w:eastAsia="zh-CN" w:bidi="ar-SA"/>
        </w:rPr>
        <w:t>资 质 证 书</w:t>
      </w:r>
    </w:p>
    <w:p>
      <w:pPr>
        <w:widowControl w:val="0"/>
        <w:snapToGrid w:val="0"/>
        <w:ind w:left="6160" w:hanging="5896" w:hangingChars="2200"/>
        <w:jc w:val="center"/>
        <w:rPr>
          <w:rFonts w:ascii="Times New Roman" w:hAnsi="Times New Roman" w:eastAsia="宋体" w:cs="Times New Roman"/>
          <w:bCs/>
          <w:kern w:val="2"/>
          <w:sz w:val="28"/>
          <w:szCs w:val="28"/>
          <w:lang w:val="en-US" w:eastAsia="zh-CN" w:bidi="ar-SA"/>
        </w:rPr>
      </w:pPr>
      <w:r>
        <w:rPr>
          <w:rFonts w:ascii="Times New Roman" w:hAnsi="Times New Roman" w:eastAsia="仿宋_GB2312" w:cs="Times New Roman"/>
          <w:bCs/>
          <w:kern w:val="2"/>
          <w:sz w:val="28"/>
          <w:szCs w:val="28"/>
          <w:lang w:val="en-US" w:eastAsia="zh-CN" w:bidi="ar-SA"/>
        </w:rPr>
        <w:t>授权签字人及授权签字领域</w:t>
      </w:r>
    </w:p>
    <w:p>
      <w:pPr>
        <w:widowControl w:val="0"/>
        <w:snapToGrid w:val="0"/>
        <w:ind w:left="5280" w:hanging="5016" w:hangingChars="2200"/>
        <w:jc w:val="left"/>
        <w:rPr>
          <w:rFonts w:hint="eastAsia" w:ascii="仿宋" w:hAnsi="仿宋" w:eastAsia="仿宋" w:cs="Times New Roman"/>
          <w:bCs/>
          <w:kern w:val="2"/>
          <w:sz w:val="24"/>
          <w:lang w:val="en-US" w:eastAsia="zh-CN" w:bidi="ar-SA"/>
        </w:rPr>
      </w:pPr>
    </w:p>
    <w:p>
      <w:pPr>
        <w:widowControl w:val="0"/>
        <w:adjustRightInd w:val="0"/>
        <w:snapToGrid w:val="0"/>
        <w:ind w:left="5400" w:hanging="5130" w:hangingChars="2250"/>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机构名称：贵州瑞龙宇方矿用产品检验有限公司</w:t>
      </w:r>
    </w:p>
    <w:p>
      <w:pPr>
        <w:widowControl w:val="0"/>
        <w:adjustRightInd w:val="0"/>
        <w:snapToGrid w:val="0"/>
        <w:ind w:left="620" w:leftChars="0" w:right="-311" w:rightChars="-101" w:hanging="622" w:firstLineChars="0"/>
        <w:jc w:val="both"/>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地址：</w:t>
      </w:r>
      <w:r>
        <w:rPr>
          <w:rFonts w:hint="eastAsia" w:ascii="仿宋" w:hAnsi="仿宋" w:eastAsia="仿宋" w:cs="Times New Roman"/>
          <w:spacing w:val="0"/>
          <w:sz w:val="24"/>
          <w:szCs w:val="24"/>
          <w:lang w:val="en-US" w:eastAsia="zh-CN"/>
        </w:rPr>
        <w:t>贵州省贵阳市贵州双龙航空港经济区小碧布依族苗族乡贵州佳海临空产业园10号楼10#-2</w:t>
      </w:r>
    </w:p>
    <w:p>
      <w:pPr>
        <w:keepNext w:val="0"/>
        <w:keepLines w:val="0"/>
        <w:pageBreakBefore w:val="0"/>
        <w:widowControl w:val="0"/>
        <w:kinsoku/>
        <w:wordWrap/>
        <w:overflowPunct/>
        <w:topLinePunct w:val="0"/>
        <w:autoSpaceDE/>
        <w:autoSpaceDN/>
        <w:bidi w:val="0"/>
        <w:adjustRightInd w:val="0"/>
        <w:snapToGrid w:val="0"/>
        <w:ind w:left="601" w:leftChars="0" w:right="-311" w:rightChars="-101" w:hanging="601" w:firstLineChars="0"/>
        <w:jc w:val="left"/>
        <w:textAlignment w:val="auto"/>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场 所：</w:t>
      </w:r>
      <w:r>
        <w:rPr>
          <w:rFonts w:hint="eastAsia" w:ascii="仿宋" w:hAnsi="仿宋" w:eastAsia="仿宋" w:cs="Times New Roman"/>
          <w:spacing w:val="0"/>
          <w:sz w:val="24"/>
          <w:szCs w:val="24"/>
          <w:lang w:val="en-US" w:eastAsia="zh-CN"/>
        </w:rPr>
        <w:t>贵州省贵阳市贵州双龙航空港经济区小碧布依族苗族乡贵州佳海临空产业园10号楼10#-2</w:t>
      </w:r>
    </w:p>
    <w:p>
      <w:pPr>
        <w:widowControl w:val="0"/>
        <w:snapToGrid w:val="0"/>
        <w:jc w:val="left"/>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证书编号：黔 煤监 23 03                有效期至：2028年3月30日</w:t>
      </w:r>
    </w:p>
    <w:tbl>
      <w:tblPr>
        <w:tblStyle w:val="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90"/>
        <w:gridCol w:w="782"/>
        <w:gridCol w:w="1591"/>
        <w:gridCol w:w="2432"/>
        <w:gridCol w:w="15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napToGrid w:val="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序号</w:t>
            </w:r>
          </w:p>
        </w:tc>
        <w:tc>
          <w:tcPr>
            <w:tcW w:w="22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napToGrid w:val="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授权签字人姓名</w:t>
            </w:r>
          </w:p>
        </w:tc>
        <w:tc>
          <w:tcPr>
            <w:tcW w:w="4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napToGrid w:val="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授权签字领域</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napToGrid w:val="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line="400" w:lineRule="exact"/>
              <w:jc w:val="center"/>
              <w:rPr>
                <w:rFonts w:hint="eastAsia" w:ascii="仿宋" w:hAnsi="仿宋" w:eastAsia="仿宋" w:cs="Times New Roman"/>
                <w:spacing w:val="-6"/>
                <w:kern w:val="2"/>
                <w:sz w:val="28"/>
                <w:szCs w:val="28"/>
                <w:lang w:val="en-US" w:eastAsia="zh-CN" w:bidi="ar-SA"/>
              </w:rPr>
            </w:pPr>
            <w:r>
              <w:rPr>
                <w:rFonts w:hint="eastAsia" w:ascii="仿宋" w:hAnsi="仿宋" w:eastAsia="仿宋" w:cs="Times New Roman"/>
                <w:spacing w:val="-6"/>
                <w:kern w:val="2"/>
                <w:sz w:val="28"/>
                <w:szCs w:val="28"/>
                <w:lang w:val="en-US" w:eastAsia="zh-CN" w:bidi="ar-SA"/>
              </w:rPr>
              <w:t>1</w:t>
            </w:r>
          </w:p>
        </w:tc>
        <w:tc>
          <w:tcPr>
            <w:tcW w:w="2272" w:type="dxa"/>
            <w:gridSpan w:val="2"/>
            <w:tcBorders>
              <w:top w:val="single" w:color="auto" w:sz="4" w:space="0"/>
              <w:left w:val="single" w:color="auto" w:sz="4" w:space="0"/>
              <w:bottom w:val="single" w:color="auto" w:sz="4" w:space="0"/>
              <w:right w:val="single" w:color="auto" w:sz="4" w:space="0"/>
            </w:tcBorders>
            <w:vAlign w:val="center"/>
          </w:tcPr>
          <w:p>
            <w:pPr>
              <w:pStyle w:val="3"/>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龚琦森</w:t>
            </w:r>
          </w:p>
        </w:tc>
        <w:tc>
          <w:tcPr>
            <w:tcW w:w="4182"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jc w:val="center"/>
              <w:rPr>
                <w:rFonts w:hint="eastAsia" w:ascii="仿宋" w:hAnsi="仿宋" w:eastAsia="仿宋"/>
                <w:sz w:val="28"/>
                <w:szCs w:val="28"/>
                <w:lang w:val="en-US" w:eastAsia="zh-CN"/>
              </w:rPr>
            </w:pPr>
            <w:r>
              <w:rPr>
                <w:rFonts w:hint="eastAsia" w:ascii="仿宋" w:hAnsi="仿宋" w:eastAsia="仿宋"/>
                <w:sz w:val="28"/>
                <w:szCs w:val="28"/>
                <w:lang w:eastAsia="zh-CN"/>
              </w:rPr>
              <w:t>授权</w:t>
            </w:r>
            <w:r>
              <w:rPr>
                <w:rFonts w:hint="eastAsia" w:ascii="仿宋" w:hAnsi="仿宋" w:eastAsia="仿宋"/>
                <w:sz w:val="28"/>
                <w:szCs w:val="28"/>
              </w:rPr>
              <w:t>项目全领域</w:t>
            </w:r>
          </w:p>
        </w:tc>
        <w:tc>
          <w:tcPr>
            <w:tcW w:w="1842" w:type="dxa"/>
            <w:tcBorders>
              <w:top w:val="single" w:color="auto" w:sz="4" w:space="0"/>
              <w:left w:val="single" w:color="auto" w:sz="4" w:space="0"/>
              <w:bottom w:val="single" w:color="auto" w:sz="4" w:space="0"/>
              <w:right w:val="single" w:color="auto" w:sz="4" w:space="0"/>
            </w:tcBorders>
            <w:vAlign w:val="center"/>
          </w:tcPr>
          <w:p>
            <w:pPr>
              <w:pStyle w:val="3"/>
              <w:snapToGrid w:val="0"/>
              <w:jc w:val="center"/>
              <w:rPr>
                <w:rFonts w:hint="eastAsia" w:ascii="仿宋" w:hAnsi="仿宋" w:eastAsia="仿宋"/>
                <w:sz w:val="28"/>
                <w:szCs w:val="28"/>
              </w:rPr>
            </w:pPr>
            <w:r>
              <w:rPr>
                <w:rFonts w:hint="eastAsia" w:ascii="仿宋" w:hAnsi="仿宋" w:eastAsia="仿宋"/>
                <w:sz w:val="28"/>
                <w:szCs w:val="28"/>
              </w:rP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line="400" w:lineRule="exact"/>
              <w:jc w:val="center"/>
              <w:rPr>
                <w:rFonts w:hint="eastAsia" w:ascii="仿宋" w:hAnsi="仿宋" w:eastAsia="仿宋" w:cs="Times New Roman"/>
                <w:spacing w:val="-6"/>
                <w:kern w:val="2"/>
                <w:sz w:val="28"/>
                <w:szCs w:val="28"/>
                <w:lang w:val="en-US" w:eastAsia="zh-CN" w:bidi="ar-SA"/>
              </w:rPr>
            </w:pPr>
            <w:r>
              <w:rPr>
                <w:rFonts w:hint="eastAsia" w:ascii="仿宋" w:hAnsi="仿宋" w:eastAsia="仿宋" w:cs="Times New Roman"/>
                <w:spacing w:val="-6"/>
                <w:kern w:val="2"/>
                <w:sz w:val="28"/>
                <w:szCs w:val="28"/>
                <w:lang w:val="en-US" w:eastAsia="zh-CN" w:bidi="ar-SA"/>
              </w:rPr>
              <w:t>2</w:t>
            </w:r>
          </w:p>
        </w:tc>
        <w:tc>
          <w:tcPr>
            <w:tcW w:w="2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周海</w:t>
            </w:r>
          </w:p>
        </w:tc>
        <w:tc>
          <w:tcPr>
            <w:tcW w:w="4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3"/>
              <w:snapToGrid w:val="0"/>
              <w:jc w:val="center"/>
              <w:rPr>
                <w:rFonts w:hint="eastAsia" w:ascii="仿宋" w:hAnsi="仿宋" w:eastAsia="仿宋"/>
                <w:sz w:val="28"/>
                <w:szCs w:val="28"/>
                <w:lang w:val="en-US" w:eastAsia="zh-CN"/>
              </w:rPr>
            </w:pPr>
            <w:r>
              <w:rPr>
                <w:rFonts w:hint="eastAsia" w:ascii="仿宋" w:hAnsi="仿宋" w:eastAsia="仿宋"/>
                <w:sz w:val="28"/>
                <w:szCs w:val="28"/>
                <w:lang w:eastAsia="zh-CN"/>
              </w:rPr>
              <w:t>授权</w:t>
            </w:r>
            <w:r>
              <w:rPr>
                <w:rFonts w:hint="eastAsia" w:ascii="仿宋" w:hAnsi="仿宋" w:eastAsia="仿宋"/>
                <w:sz w:val="28"/>
                <w:szCs w:val="28"/>
              </w:rPr>
              <w:t>项目全领域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napToGrid w:val="0"/>
              <w:jc w:val="center"/>
              <w:rPr>
                <w:rFonts w:hint="eastAsia" w:ascii="仿宋" w:hAnsi="仿宋" w:eastAsia="仿宋"/>
                <w:sz w:val="28"/>
                <w:szCs w:val="28"/>
                <w:lang w:val="en-US" w:eastAsia="zh-CN"/>
              </w:rPr>
            </w:pPr>
            <w:r>
              <w:rPr>
                <w:rFonts w:hint="eastAsia" w:ascii="仿宋" w:hAnsi="仿宋" w:eastAsia="仿宋"/>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80" w:hRule="atLeast"/>
        </w:trPr>
        <w:tc>
          <w:tcPr>
            <w:tcW w:w="9072" w:type="dxa"/>
            <w:gridSpan w:val="7"/>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仿宋" w:hAnsi="仿宋" w:eastAsia="仿宋"/>
                <w:color w:val="auto"/>
                <w:sz w:val="28"/>
                <w:szCs w:val="28"/>
              </w:rPr>
              <w:t>（以下空白）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wBefore w:w="0" w:type="auto"/>
          <w:wAfter w:w="0" w:type="auto"/>
          <w:trHeight w:val="390" w:hRule="atLeast"/>
          <w:jc w:val="center"/>
        </w:trPr>
        <w:tc>
          <w:tcPr>
            <w:tcW w:w="9072" w:type="dxa"/>
            <w:gridSpan w:val="7"/>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r>
              <w:rPr>
                <w:rFonts w:hint="eastAsia" w:ascii="Times New Roman" w:hAnsi="Times New Roman" w:eastAsia="仿宋_GB2312" w:cs="Times New Roman"/>
                <w:color w:val="333333"/>
                <w:spacing w:val="0"/>
                <w:kern w:val="0"/>
                <w:sz w:val="24"/>
                <w:szCs w:val="24"/>
              </w:rPr>
              <w:t>机构违法受处罚信息（初次申请不填写）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wBefore w:w="0" w:type="auto"/>
          <w:wAfter w:w="0" w:type="auto"/>
          <w:trHeight w:val="447" w:hRule="atLeast"/>
          <w:jc w:val="center"/>
        </w:trPr>
        <w:tc>
          <w:tcPr>
            <w:tcW w:w="2266"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r>
              <w:rPr>
                <w:rFonts w:hint="eastAsia" w:ascii="Times New Roman" w:hAnsi="Times New Roman" w:eastAsia="仿宋_GB2312" w:cs="Times New Roman"/>
                <w:color w:val="333333"/>
                <w:spacing w:val="0"/>
                <w:kern w:val="0"/>
                <w:sz w:val="24"/>
                <w:szCs w:val="24"/>
              </w:rPr>
              <w:t>违法事实</w:t>
            </w:r>
          </w:p>
        </w:tc>
        <w:tc>
          <w:tcPr>
            <w:tcW w:w="2373"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r>
              <w:rPr>
                <w:rFonts w:hint="eastAsia" w:ascii="Times New Roman" w:hAnsi="Times New Roman" w:eastAsia="仿宋_GB2312" w:cs="Times New Roman"/>
                <w:color w:val="333333"/>
                <w:spacing w:val="0"/>
                <w:kern w:val="0"/>
                <w:sz w:val="24"/>
                <w:szCs w:val="24"/>
              </w:rPr>
              <w:t>处罚决定</w:t>
            </w:r>
          </w:p>
        </w:tc>
        <w:tc>
          <w:tcPr>
            <w:tcW w:w="243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r>
              <w:rPr>
                <w:rFonts w:hint="eastAsia" w:ascii="Times New Roman" w:hAnsi="Times New Roman" w:eastAsia="仿宋_GB2312" w:cs="Times New Roman"/>
                <w:color w:val="333333"/>
                <w:spacing w:val="0"/>
                <w:kern w:val="0"/>
                <w:sz w:val="24"/>
                <w:szCs w:val="24"/>
              </w:rPr>
              <w:t>处罚时间</w:t>
            </w:r>
          </w:p>
        </w:tc>
        <w:tc>
          <w:tcPr>
            <w:tcW w:w="200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r>
              <w:rPr>
                <w:rFonts w:hint="eastAsia" w:ascii="Times New Roman" w:hAnsi="Times New Roman" w:eastAsia="仿宋_GB2312" w:cs="Times New Roman"/>
                <w:color w:val="333333"/>
                <w:spacing w:val="0"/>
                <w:kern w:val="0"/>
                <w:sz w:val="24"/>
                <w:szCs w:val="24"/>
              </w:rPr>
              <w:t>执法机关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wBefore w:w="0" w:type="auto"/>
          <w:wAfter w:w="0" w:type="auto"/>
          <w:trHeight w:val="394" w:hRule="atLeast"/>
          <w:jc w:val="center"/>
        </w:trPr>
        <w:tc>
          <w:tcPr>
            <w:tcW w:w="2266"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lang w:val="en-US" w:eastAsia="zh-CN"/>
              </w:rPr>
            </w:pPr>
            <w:r>
              <w:rPr>
                <w:rFonts w:hint="eastAsia" w:ascii="Times New Roman" w:hAnsi="Times New Roman" w:eastAsia="仿宋_GB2312" w:cs="Times New Roman"/>
                <w:color w:val="333333"/>
                <w:spacing w:val="0"/>
                <w:kern w:val="0"/>
                <w:sz w:val="24"/>
                <w:szCs w:val="24"/>
                <w:lang w:val="en-US" w:eastAsia="zh-CN"/>
              </w:rPr>
              <w:t>无</w:t>
            </w:r>
          </w:p>
        </w:tc>
        <w:tc>
          <w:tcPr>
            <w:tcW w:w="2373"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p>
        </w:tc>
        <w:tc>
          <w:tcPr>
            <w:tcW w:w="243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p>
        </w:tc>
        <w:tc>
          <w:tcPr>
            <w:tcW w:w="2001"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333333"/>
                <w:spacing w:val="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hint="eastAsia" w:ascii="宋体" w:hAnsi="宋体" w:eastAsia="宋体" w:cs="Times New Roman"/>
        <w:kern w:val="2"/>
        <w:sz w:val="21"/>
        <w:szCs w:val="21"/>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2EBE62A0"/>
    <w:rsid w:val="02F3268B"/>
    <w:rsid w:val="03646ACC"/>
    <w:rsid w:val="251175E6"/>
    <w:rsid w:val="26B930D0"/>
    <w:rsid w:val="26B97F35"/>
    <w:rsid w:val="2C4D2598"/>
    <w:rsid w:val="2EBE62A0"/>
    <w:rsid w:val="34596B68"/>
    <w:rsid w:val="3809556C"/>
    <w:rsid w:val="3AD44EE6"/>
    <w:rsid w:val="3FF14E96"/>
    <w:rsid w:val="47D662E6"/>
    <w:rsid w:val="48595C33"/>
    <w:rsid w:val="4A6C0EA1"/>
    <w:rsid w:val="58C55D16"/>
    <w:rsid w:val="640B10C9"/>
    <w:rsid w:val="64D36022"/>
    <w:rsid w:val="66FF25C3"/>
    <w:rsid w:val="6F7FD011"/>
    <w:rsid w:val="78532FC3"/>
    <w:rsid w:val="78CBA1A3"/>
    <w:rsid w:val="7FA51F7A"/>
    <w:rsid w:val="BDE9E44D"/>
    <w:rsid w:val="F5E77DB4"/>
    <w:rsid w:val="FA8F26DD"/>
    <w:rsid w:val="FE87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3">
    <w:name w:val="Plain Text"/>
    <w:basedOn w:val="1"/>
    <w:qFormat/>
    <w:uiPriority w:val="0"/>
    <w:rPr>
      <w:rFonts w:ascii="宋体" w:hAnsi="Courier New"/>
    </w:rPr>
  </w:style>
  <w:style w:type="character" w:styleId="6">
    <w:name w:val="Hyperlink"/>
    <w:basedOn w:val="5"/>
    <w:qFormat/>
    <w:uiPriority w:val="0"/>
    <w:rPr>
      <w:color w:val="0000FF"/>
      <w:u w:val="single"/>
    </w:rPr>
  </w:style>
  <w:style w:type="paragraph" w:customStyle="1" w:styleId="7">
    <w:name w:val="样式 样式 样式 宋体 + 首行缩进:  2 字符 + 首行缩进:  2 字符"/>
    <w:basedOn w:val="1"/>
    <w:qFormat/>
    <w:uiPriority w:val="0"/>
    <w:pPr>
      <w:spacing w:line="440" w:lineRule="exact"/>
      <w:ind w:firstLine="512" w:firstLineChars="200"/>
    </w:pPr>
    <w:rPr>
      <w:rFonts w:ascii="宋体" w:hAnsi="宋体" w:eastAsia="方正仿宋_GB2312"/>
      <w:spacing w:val="8"/>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1195</Words>
  <Characters>1548</Characters>
  <Lines>0</Lines>
  <Paragraphs>0</Paragraphs>
  <TotalTime>0</TotalTime>
  <ScaleCrop>false</ScaleCrop>
  <LinksUpToDate>false</LinksUpToDate>
  <CharactersWithSpaces>1551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2025-02-28T14:27:00Z</dcterms:created>
  <dc:creator>Autistic  </dc:creator>
  <cp:lastModifiedBy>冯威然</cp:lastModifiedBy>
  <dcterms:modified xsi:type="dcterms:W3CDTF">2025-06-17T10:37:50Z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649D5FE8363F4068889C0CC269BE211E_11</vt:lpwstr>
  </property>
  <property fmtid="{D5CDD505-2E9C-101B-9397-08002B2CF9AE}" pid="4" name="KSOTemplateDocerSaveRecord">
    <vt:lpwstr>eyJoZGlkIjoiMTlmYjYwZWFlMTNiYzEzZDQ2ZTk2YWFmNDRlMDY3NzMiLCJ1c2VySWQiOiIyMzIxNDE2OTYifQ==</vt:lpwstr>
  </property>
</Properties>
</file>