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2C3AB3">
      <w:pPr>
        <w:pStyle w:val="14"/>
        <w:keepLines w:val="0"/>
        <w:spacing w:before="240" w:after="120" w:line="360" w:lineRule="auto"/>
        <w:jc w:val="left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附件2</w:t>
      </w:r>
    </w:p>
    <w:p w14:paraId="5E5EEE03">
      <w:pPr>
        <w:pStyle w:val="14"/>
        <w:keepLines w:val="0"/>
        <w:spacing w:before="240" w:after="120" w:line="360" w:lineRule="auto"/>
        <w:jc w:val="center"/>
        <w:rPr>
          <w:rFonts w:eastAsia="仿宋_GB2312"/>
          <w:b/>
          <w:sz w:val="32"/>
        </w:rPr>
      </w:pPr>
      <w:bookmarkStart w:id="4" w:name="_GoBack"/>
      <w:r>
        <w:rPr>
          <w:rFonts w:eastAsia="仿宋_GB2312"/>
          <w:b/>
          <w:sz w:val="32"/>
        </w:rPr>
        <w:t>露天煤矿柴油消耗量计算建议方法（参考）</w:t>
      </w:r>
    </w:p>
    <w:bookmarkEnd w:id="4"/>
    <w:p w14:paraId="346EA940">
      <w:pPr>
        <w:pStyle w:val="14"/>
        <w:keepLines w:val="0"/>
        <w:spacing w:before="240" w:after="120" w:line="360" w:lineRule="auto"/>
        <w:ind w:firstLine="562" w:firstLineChars="200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一、计算依据</w:t>
      </w:r>
    </w:p>
    <w:p w14:paraId="30513BD3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根据省能源局要求，按国家能源局2016年8月发布的《煤炭建设露天剥离工程综合消耗量定额（2015基价）》（NB/T51052-2016）或中国煤炭建设协会2016年12月发布的《煤炭建设露天剥离工程综合消耗量定额（2015除税基价）》（以下简称“定额”），提出露天煤矿柴油消耗量计算建议方法。</w:t>
      </w:r>
    </w:p>
    <w:p w14:paraId="79444F12">
      <w:pPr>
        <w:pStyle w:val="14"/>
        <w:keepLines w:val="0"/>
        <w:spacing w:before="240" w:after="120" w:line="360" w:lineRule="auto"/>
        <w:ind w:firstLine="562" w:firstLineChars="200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二、露天煤矿柴油消耗量计算</w:t>
      </w:r>
    </w:p>
    <w:p w14:paraId="328A6E91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露天煤矿用能系统主要包括穿孔爆破、采装、运输、排土、排水工序，以及辅助生产系统和附属生产系统；其中柴油消耗主要涉及穿孔爆破、采装、运输、排土工序，以及辅助生产系统和附属生产系统。</w:t>
      </w:r>
    </w:p>
    <w:p w14:paraId="4ACA3881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计算公式：</w:t>
      </w:r>
    </w:p>
    <w:p w14:paraId="1FF2DE83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drawing>
          <wp:inline distT="0" distB="0" distL="0" distR="0">
            <wp:extent cx="3111500" cy="24130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24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/>
          <w:sz w:val="28"/>
          <w:szCs w:val="28"/>
        </w:rPr>
        <w:t xml:space="preserve">            ………………..（1）</w:t>
      </w:r>
    </w:p>
    <w:p w14:paraId="75227D62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式中：</w:t>
      </w:r>
    </w:p>
    <w:p w14:paraId="2C388614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露天煤矿</w:t>
      </w:r>
      <w:r>
        <w:rPr>
          <w:rFonts w:ascii="Times New Roman" w:hAnsi="Times New Roman" w:eastAsia="仿宋_GB2312"/>
          <w:sz w:val="28"/>
          <w:szCs w:val="28"/>
        </w:rPr>
        <w:t>——露天煤矿年柴油消耗量，单位为L/a；</w:t>
      </w:r>
    </w:p>
    <w:p w14:paraId="68770AD0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穿爆</w:t>
      </w:r>
      <w:r>
        <w:rPr>
          <w:rFonts w:ascii="Times New Roman" w:hAnsi="Times New Roman" w:eastAsia="仿宋_GB2312"/>
          <w:sz w:val="28"/>
          <w:szCs w:val="28"/>
        </w:rPr>
        <w:t>——露天煤矿穿孔爆破工序年柴油消耗量，单位为L/a；</w:t>
      </w:r>
    </w:p>
    <w:p w14:paraId="527C33D5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采装</w:t>
      </w:r>
      <w:r>
        <w:rPr>
          <w:rFonts w:ascii="Times New Roman" w:hAnsi="Times New Roman" w:eastAsia="仿宋_GB2312"/>
          <w:sz w:val="28"/>
          <w:szCs w:val="28"/>
        </w:rPr>
        <w:t>——露天煤矿采装工序年柴油消耗量，单位为L/a；</w:t>
      </w:r>
    </w:p>
    <w:p w14:paraId="57B43982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运输</w:t>
      </w:r>
      <w:r>
        <w:rPr>
          <w:rFonts w:ascii="Times New Roman" w:hAnsi="Times New Roman" w:eastAsia="仿宋_GB2312"/>
          <w:sz w:val="28"/>
          <w:szCs w:val="28"/>
        </w:rPr>
        <w:t>——露天煤矿运输工序年柴油消耗量，单位为L/a；</w:t>
      </w:r>
    </w:p>
    <w:p w14:paraId="4CFB5C26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排土</w:t>
      </w:r>
      <w:r>
        <w:rPr>
          <w:rFonts w:ascii="Times New Roman" w:hAnsi="Times New Roman" w:eastAsia="仿宋_GB2312"/>
          <w:sz w:val="28"/>
          <w:szCs w:val="28"/>
        </w:rPr>
        <w:t>——露天煤矿排土工序年柴油消耗量，单位为L/a；</w:t>
      </w:r>
    </w:p>
    <w:p w14:paraId="37607388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bookmarkStart w:id="0" w:name="_Toc13258"/>
      <w:bookmarkStart w:id="1" w:name="_Toc17633"/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其他</w:t>
      </w:r>
      <w:r>
        <w:rPr>
          <w:rFonts w:ascii="Times New Roman" w:hAnsi="Times New Roman" w:eastAsia="仿宋_GB2312"/>
          <w:sz w:val="28"/>
          <w:szCs w:val="28"/>
        </w:rPr>
        <w:t>——露天煤矿辅助生产系统和附属生产系统年柴油消耗量，单位为L/a。</w:t>
      </w:r>
    </w:p>
    <w:bookmarkEnd w:id="0"/>
    <w:bookmarkEnd w:id="1"/>
    <w:p w14:paraId="271EDEAC">
      <w:pPr>
        <w:pStyle w:val="14"/>
        <w:keepLines w:val="0"/>
        <w:spacing w:before="240" w:after="120" w:line="360" w:lineRule="auto"/>
        <w:ind w:firstLine="562" w:firstLineChars="200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1、穿孔爆破工序柴油消耗量</w:t>
      </w:r>
    </w:p>
    <w:p w14:paraId="0837D56B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1）计算公式</w:t>
      </w:r>
    </w:p>
    <w:p w14:paraId="067DDA20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drawing>
          <wp:inline distT="0" distB="0" distL="0" distR="0">
            <wp:extent cx="1777365" cy="241300"/>
            <wp:effectExtent l="0" t="0" r="0" b="0"/>
            <wp:docPr id="2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i10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24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                ………………..（2）</w:t>
      </w:r>
    </w:p>
    <w:p w14:paraId="2C7A6DBD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式中：</w:t>
      </w:r>
    </w:p>
    <w:p w14:paraId="48123B9B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穿爆</w:t>
      </w:r>
      <w:r>
        <w:rPr>
          <w:rFonts w:ascii="Times New Roman" w:hAnsi="Times New Roman" w:eastAsia="仿宋_GB2312"/>
          <w:sz w:val="28"/>
          <w:szCs w:val="28"/>
        </w:rPr>
        <w:t>——露天煤矿穿孔爆破工序年柴油消耗量，单位为L/a；</w:t>
      </w:r>
    </w:p>
    <w:p w14:paraId="6DE22FFE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台阶穿爆</w:t>
      </w:r>
      <w:r>
        <w:rPr>
          <w:rFonts w:ascii="Times New Roman" w:hAnsi="Times New Roman" w:eastAsia="仿宋_GB2312"/>
          <w:sz w:val="28"/>
          <w:szCs w:val="28"/>
        </w:rPr>
        <w:t>——露天煤矿台阶穿孔爆破年柴油消耗量，单位为L/a；</w:t>
      </w:r>
    </w:p>
    <w:p w14:paraId="7D49D586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堑沟穿爆</w:t>
      </w:r>
      <w:r>
        <w:rPr>
          <w:rFonts w:ascii="Times New Roman" w:hAnsi="Times New Roman" w:eastAsia="仿宋_GB2312"/>
          <w:sz w:val="28"/>
          <w:szCs w:val="28"/>
        </w:rPr>
        <w:t>——露天煤矿堑沟穿孔爆破年柴油消耗量，单位为L/a。</w:t>
      </w:r>
    </w:p>
    <w:p w14:paraId="60DAF7F2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2）台阶穿孔爆破</w:t>
      </w:r>
    </w:p>
    <w:p w14:paraId="2433737A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参数：台阶高度、岩石硬度、配备的机械设备、年穿孔爆破量。</w:t>
      </w:r>
    </w:p>
    <w:p w14:paraId="2E6BF6AE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计算方法：根据台阶高度、岩石硬度、配备的机械设备，按《定额》“2.2 台阶穿孔爆破”确定1000m</w:t>
      </w:r>
      <w:r>
        <w:rPr>
          <w:rFonts w:ascii="Times New Roman" w:hAnsi="Times New Roman" w:eastAsia="仿宋_GB2312"/>
          <w:sz w:val="28"/>
          <w:szCs w:val="28"/>
          <w:vertAlign w:val="superscript"/>
        </w:rPr>
        <w:t>3</w:t>
      </w:r>
      <w:r>
        <w:rPr>
          <w:rFonts w:ascii="Times New Roman" w:hAnsi="Times New Roman" w:eastAsia="仿宋_GB2312"/>
          <w:sz w:val="28"/>
          <w:szCs w:val="28"/>
        </w:rPr>
        <w:t>岩石穿爆各机械设备所需台班数，根据配备的机械设备按“附录B 施工机械台班定额”确定单位台班机械设备柴油消耗量，得到1000m</w:t>
      </w:r>
      <w:r>
        <w:rPr>
          <w:rFonts w:ascii="Times New Roman" w:hAnsi="Times New Roman" w:eastAsia="仿宋_GB2312"/>
          <w:sz w:val="28"/>
          <w:szCs w:val="28"/>
          <w:vertAlign w:val="superscript"/>
        </w:rPr>
        <w:t>3</w:t>
      </w:r>
      <w:r>
        <w:rPr>
          <w:rFonts w:ascii="Times New Roman" w:hAnsi="Times New Roman" w:eastAsia="仿宋_GB2312"/>
          <w:sz w:val="28"/>
          <w:szCs w:val="28"/>
        </w:rPr>
        <w:t>岩石穿爆所需柴油消耗量，计算单位穿爆量柴油消耗量，乘以年穿孔爆破量得到台阶穿孔爆破年柴油消耗量。</w:t>
      </w:r>
    </w:p>
    <w:p w14:paraId="7F4AF757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计算公式：</w:t>
      </w:r>
    </w:p>
    <w:p w14:paraId="790977DC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drawing>
          <wp:inline distT="0" distB="0" distL="0" distR="0">
            <wp:extent cx="3200400" cy="266065"/>
            <wp:effectExtent l="0" t="0" r="0" b="0"/>
            <wp:docPr id="3" name="_x0000_i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i10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6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/>
          <w:sz w:val="28"/>
          <w:szCs w:val="28"/>
        </w:rPr>
        <w:t xml:space="preserve">          ………………..（3）</w:t>
      </w:r>
    </w:p>
    <w:p w14:paraId="08D594B7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式中：</w:t>
      </w:r>
    </w:p>
    <w:p w14:paraId="4F776470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台阶穿爆</w:t>
      </w:r>
      <w:r>
        <w:rPr>
          <w:rFonts w:ascii="Times New Roman" w:hAnsi="Times New Roman" w:eastAsia="仿宋_GB2312"/>
          <w:sz w:val="28"/>
          <w:szCs w:val="28"/>
        </w:rPr>
        <w:t>——露天煤矿台阶穿孔爆破年柴油消耗量，单位为L/a；</w:t>
      </w:r>
    </w:p>
    <w:p w14:paraId="76F5A496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TB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穿爆设备i</w:t>
      </w:r>
      <w:r>
        <w:rPr>
          <w:rFonts w:ascii="Times New Roman" w:hAnsi="Times New Roman" w:eastAsia="仿宋_GB2312"/>
          <w:sz w:val="28"/>
          <w:szCs w:val="28"/>
        </w:rPr>
        <w:t>——露天煤矿台阶穿孔爆破第i种机械设备对应的台班数，单位为台班/1000m</w:t>
      </w:r>
      <w:r>
        <w:rPr>
          <w:rFonts w:ascii="Times New Roman" w:hAnsi="Times New Roman" w:eastAsia="仿宋_GB2312"/>
          <w:sz w:val="28"/>
          <w:szCs w:val="28"/>
          <w:vertAlign w:val="superscript"/>
        </w:rPr>
        <w:t>3</w:t>
      </w:r>
      <w:r>
        <w:rPr>
          <w:rFonts w:ascii="Times New Roman" w:hAnsi="Times New Roman" w:eastAsia="仿宋_GB2312"/>
          <w:sz w:val="28"/>
          <w:szCs w:val="28"/>
        </w:rPr>
        <w:t>；根据台阶高度、岩石硬度，按《定额》2.2取值；</w:t>
      </w:r>
    </w:p>
    <w:p w14:paraId="6CA528BC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穿爆设备i</w:t>
      </w:r>
      <w:r>
        <w:rPr>
          <w:rFonts w:ascii="Times New Roman" w:hAnsi="Times New Roman" w:eastAsia="仿宋_GB2312"/>
          <w:sz w:val="28"/>
          <w:szCs w:val="28"/>
        </w:rPr>
        <w:t>——露天煤矿台阶穿孔爆破第i种机械设备单位台班柴油消耗量，单位为L/台班；按《定额》附录B取值；</w:t>
      </w:r>
    </w:p>
    <w:p w14:paraId="52E64C51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Q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穿爆</w:t>
      </w:r>
      <w:r>
        <w:rPr>
          <w:rFonts w:ascii="Times New Roman" w:hAnsi="Times New Roman" w:eastAsia="仿宋_GB2312"/>
          <w:sz w:val="28"/>
          <w:szCs w:val="28"/>
        </w:rPr>
        <w:t>——露天煤矿台阶年穿孔爆破量，单位为m</w:t>
      </w:r>
      <w:r>
        <w:rPr>
          <w:rFonts w:ascii="Times New Roman" w:hAnsi="Times New Roman" w:eastAsia="仿宋_GB2312"/>
          <w:sz w:val="28"/>
          <w:szCs w:val="28"/>
          <w:vertAlign w:val="superscript"/>
        </w:rPr>
        <w:t>3</w:t>
      </w:r>
      <w:r>
        <w:rPr>
          <w:rFonts w:ascii="Times New Roman" w:hAnsi="Times New Roman" w:eastAsia="仿宋_GB2312"/>
          <w:sz w:val="28"/>
          <w:szCs w:val="28"/>
        </w:rPr>
        <w:t>/a。</w:t>
      </w:r>
    </w:p>
    <w:p w14:paraId="6B632712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3）堑沟穿孔爆破（双壁堑沟；单壁堑沟套用台阶穿孔爆破定额）</w:t>
      </w:r>
    </w:p>
    <w:p w14:paraId="6995B782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参数：堑沟底宽、堑沟深度、岩石硬度、配备的机械设备、年穿孔爆破量。</w:t>
      </w:r>
    </w:p>
    <w:p w14:paraId="137AB9D7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计算方法：根据堑沟底宽、堑沟深度、岩石硬度、配备的机械设备，按《定额》“2.3 堑沟穿孔爆破”确定1000m</w:t>
      </w:r>
      <w:r>
        <w:rPr>
          <w:rFonts w:ascii="Times New Roman" w:hAnsi="Times New Roman" w:eastAsia="仿宋_GB2312"/>
          <w:sz w:val="28"/>
          <w:szCs w:val="28"/>
          <w:vertAlign w:val="superscript"/>
        </w:rPr>
        <w:t>3</w:t>
      </w:r>
      <w:r>
        <w:rPr>
          <w:rFonts w:ascii="Times New Roman" w:hAnsi="Times New Roman" w:eastAsia="仿宋_GB2312"/>
          <w:sz w:val="28"/>
          <w:szCs w:val="28"/>
        </w:rPr>
        <w:t>岩石穿爆各机械设备所需台班数，根据采用的机械设备按“附录B 施工机械台班定额”确定单位台班机械设备柴油消耗量，得到1000m</w:t>
      </w:r>
      <w:r>
        <w:rPr>
          <w:rFonts w:ascii="Times New Roman" w:hAnsi="Times New Roman" w:eastAsia="仿宋_GB2312"/>
          <w:sz w:val="28"/>
          <w:szCs w:val="28"/>
          <w:vertAlign w:val="superscript"/>
        </w:rPr>
        <w:t>3</w:t>
      </w:r>
      <w:r>
        <w:rPr>
          <w:rFonts w:ascii="Times New Roman" w:hAnsi="Times New Roman" w:eastAsia="仿宋_GB2312"/>
          <w:sz w:val="28"/>
          <w:szCs w:val="28"/>
        </w:rPr>
        <w:t>岩石穿爆所需柴油消耗量，计算单位穿爆量柴油消耗量，乘以年穿孔爆破量得到堑沟穿孔爆破年柴油消耗量。</w:t>
      </w:r>
    </w:p>
    <w:p w14:paraId="1A19FDA4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计算公式：</w:t>
      </w:r>
    </w:p>
    <w:p w14:paraId="17A87AB1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drawing>
          <wp:inline distT="0" distB="0" distL="0" distR="0">
            <wp:extent cx="3200400" cy="266065"/>
            <wp:effectExtent l="0" t="0" r="0" b="0"/>
            <wp:docPr id="4" name="_x0000_i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i10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6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/>
          <w:sz w:val="28"/>
          <w:szCs w:val="28"/>
        </w:rPr>
        <w:t xml:space="preserve">          ………………..（4）</w:t>
      </w:r>
    </w:p>
    <w:p w14:paraId="13A45B51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式中：</w:t>
      </w:r>
    </w:p>
    <w:p w14:paraId="07816100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堑沟穿爆</w:t>
      </w:r>
      <w:r>
        <w:rPr>
          <w:rFonts w:ascii="Times New Roman" w:hAnsi="Times New Roman" w:eastAsia="仿宋_GB2312"/>
          <w:sz w:val="28"/>
          <w:szCs w:val="28"/>
        </w:rPr>
        <w:t>——露天煤矿堑沟穿孔爆破年柴油消耗量，单位为L/a；</w:t>
      </w:r>
    </w:p>
    <w:p w14:paraId="73082047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TB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穿爆设备i</w:t>
      </w:r>
      <w:r>
        <w:rPr>
          <w:rFonts w:ascii="Times New Roman" w:hAnsi="Times New Roman" w:eastAsia="仿宋_GB2312"/>
          <w:sz w:val="28"/>
          <w:szCs w:val="28"/>
        </w:rPr>
        <w:t>——露天煤矿堑沟穿孔爆破第i种机械设备对应的台班数，单位为台班/1000m</w:t>
      </w:r>
      <w:r>
        <w:rPr>
          <w:rFonts w:ascii="Times New Roman" w:hAnsi="Times New Roman" w:eastAsia="仿宋_GB2312"/>
          <w:sz w:val="28"/>
          <w:szCs w:val="28"/>
          <w:vertAlign w:val="superscript"/>
        </w:rPr>
        <w:t>3</w:t>
      </w:r>
      <w:r>
        <w:rPr>
          <w:rFonts w:ascii="Times New Roman" w:hAnsi="Times New Roman" w:eastAsia="仿宋_GB2312"/>
          <w:sz w:val="28"/>
          <w:szCs w:val="28"/>
        </w:rPr>
        <w:t>；根据堑沟底宽、堑沟深度、岩石硬度，按《定额》2.3取值；</w:t>
      </w:r>
    </w:p>
    <w:p w14:paraId="27895122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穿爆设备i</w:t>
      </w:r>
      <w:r>
        <w:rPr>
          <w:rFonts w:ascii="Times New Roman" w:hAnsi="Times New Roman" w:eastAsia="仿宋_GB2312"/>
          <w:sz w:val="28"/>
          <w:szCs w:val="28"/>
        </w:rPr>
        <w:t>——露天煤矿堑沟穿孔爆破第i种机械设备单位台班柴油消耗量，单位为L/台班；按《定额》附录B取值；</w:t>
      </w:r>
    </w:p>
    <w:p w14:paraId="48ED5BE7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Q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穿爆</w:t>
      </w:r>
      <w:r>
        <w:rPr>
          <w:rFonts w:ascii="Times New Roman" w:hAnsi="Times New Roman" w:eastAsia="仿宋_GB2312"/>
          <w:sz w:val="28"/>
          <w:szCs w:val="28"/>
        </w:rPr>
        <w:t>——露天煤矿堑沟年穿孔爆破量，单位为m</w:t>
      </w:r>
      <w:r>
        <w:rPr>
          <w:rFonts w:ascii="Times New Roman" w:hAnsi="Times New Roman" w:eastAsia="仿宋_GB2312"/>
          <w:sz w:val="28"/>
          <w:szCs w:val="28"/>
          <w:vertAlign w:val="superscript"/>
        </w:rPr>
        <w:t>3</w:t>
      </w:r>
      <w:r>
        <w:rPr>
          <w:rFonts w:ascii="Times New Roman" w:hAnsi="Times New Roman" w:eastAsia="仿宋_GB2312"/>
          <w:sz w:val="28"/>
          <w:szCs w:val="28"/>
        </w:rPr>
        <w:t>/a。</w:t>
      </w:r>
    </w:p>
    <w:p w14:paraId="72B4175B">
      <w:pPr>
        <w:pStyle w:val="14"/>
        <w:keepLines w:val="0"/>
        <w:spacing w:before="240" w:after="120" w:line="360" w:lineRule="auto"/>
        <w:ind w:firstLine="562" w:firstLineChars="200"/>
        <w:jc w:val="left"/>
        <w:rPr>
          <w:rFonts w:eastAsia="仿宋_GB2312"/>
          <w:b/>
          <w:sz w:val="28"/>
          <w:szCs w:val="28"/>
        </w:rPr>
      </w:pPr>
      <w:bookmarkStart w:id="2" w:name="_Toc30060"/>
      <w:bookmarkEnd w:id="2"/>
      <w:bookmarkStart w:id="3" w:name="_Toc2798"/>
      <w:bookmarkEnd w:id="3"/>
      <w:r>
        <w:rPr>
          <w:rFonts w:eastAsia="仿宋_GB2312"/>
          <w:b/>
          <w:sz w:val="28"/>
          <w:szCs w:val="28"/>
        </w:rPr>
        <w:t>2、采装工序柴油消耗量</w:t>
      </w:r>
    </w:p>
    <w:p w14:paraId="00A54BEB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1）计算公式</w:t>
      </w:r>
    </w:p>
    <w:p w14:paraId="45B8954F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drawing>
          <wp:inline distT="0" distB="0" distL="0" distR="0">
            <wp:extent cx="2463165" cy="241300"/>
            <wp:effectExtent l="0" t="0" r="0" b="0"/>
            <wp:docPr id="5" name="_x0000_i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i10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24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………………..（5）</w:t>
      </w:r>
    </w:p>
    <w:p w14:paraId="0F58BD57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式中：</w:t>
      </w:r>
    </w:p>
    <w:p w14:paraId="6DEAB7C7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采装</w:t>
      </w:r>
      <w:r>
        <w:rPr>
          <w:rFonts w:ascii="Times New Roman" w:hAnsi="Times New Roman" w:eastAsia="仿宋_GB2312"/>
          <w:sz w:val="28"/>
          <w:szCs w:val="28"/>
        </w:rPr>
        <w:t>——露天煤矿采装工序年柴油消耗量，单位为L/a；</w:t>
      </w:r>
    </w:p>
    <w:p w14:paraId="7D934A94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表土采装</w:t>
      </w:r>
      <w:r>
        <w:rPr>
          <w:rFonts w:ascii="Times New Roman" w:hAnsi="Times New Roman" w:eastAsia="仿宋_GB2312"/>
          <w:sz w:val="28"/>
          <w:szCs w:val="28"/>
        </w:rPr>
        <w:t>——露天煤矿表土采装年柴油消耗量，单位为L/a；</w:t>
      </w:r>
    </w:p>
    <w:p w14:paraId="75E6C043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岩石采装</w:t>
      </w:r>
      <w:r>
        <w:rPr>
          <w:rFonts w:ascii="Times New Roman" w:hAnsi="Times New Roman" w:eastAsia="仿宋_GB2312"/>
          <w:sz w:val="28"/>
          <w:szCs w:val="28"/>
        </w:rPr>
        <w:t>——露天煤矿岩石采装年柴油消耗量，单位为L/a；</w:t>
      </w:r>
    </w:p>
    <w:p w14:paraId="51B38923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原煤采装</w:t>
      </w:r>
      <w:r>
        <w:rPr>
          <w:rFonts w:ascii="Times New Roman" w:hAnsi="Times New Roman" w:eastAsia="仿宋_GB2312"/>
          <w:sz w:val="28"/>
          <w:szCs w:val="28"/>
        </w:rPr>
        <w:t>——露天煤矿原煤采装年柴油消耗量，单位为L/a。</w:t>
      </w:r>
    </w:p>
    <w:p w14:paraId="69695C6A">
      <w:pPr>
        <w:numPr>
          <w:ilvl w:val="0"/>
          <w:numId w:val="1"/>
        </w:num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剥离物采装柴油消耗量</w:t>
      </w:r>
    </w:p>
    <w:p w14:paraId="42BBA348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参数：配备的机械设备、岩石硬度、原煤硬度、表土年采装量、岩石年采装量、原煤年采装量。</w:t>
      </w:r>
    </w:p>
    <w:p w14:paraId="68A7A77E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计算方法：根据采装剥离物种类、岩石硬度、原煤硬度、配备的机械设备按《定额》“3.2 电动挖掘机采装”或“3.3 液压挖掘机（反铲）采装”确定采装1000m</w:t>
      </w:r>
      <w:r>
        <w:rPr>
          <w:rFonts w:ascii="Times New Roman" w:hAnsi="Times New Roman" w:eastAsia="仿宋_GB2312"/>
          <w:sz w:val="28"/>
          <w:szCs w:val="28"/>
          <w:vertAlign w:val="superscript"/>
        </w:rPr>
        <w:t>3</w:t>
      </w:r>
      <w:r>
        <w:rPr>
          <w:rFonts w:ascii="Times New Roman" w:hAnsi="Times New Roman" w:eastAsia="仿宋_GB2312"/>
          <w:sz w:val="28"/>
          <w:szCs w:val="28"/>
        </w:rPr>
        <w:t>表土、岩石、原煤所需台班数，根据采用的机械设备按“附录B 施工机械台班定额”确定单位台班机械设备柴油消耗量，得到1000m</w:t>
      </w:r>
      <w:r>
        <w:rPr>
          <w:rFonts w:ascii="Times New Roman" w:hAnsi="Times New Roman" w:eastAsia="仿宋_GB2312"/>
          <w:sz w:val="28"/>
          <w:szCs w:val="28"/>
          <w:vertAlign w:val="superscript"/>
        </w:rPr>
        <w:t>3</w:t>
      </w:r>
      <w:r>
        <w:rPr>
          <w:rFonts w:ascii="Times New Roman" w:hAnsi="Times New Roman" w:eastAsia="仿宋_GB2312"/>
          <w:sz w:val="28"/>
          <w:szCs w:val="28"/>
        </w:rPr>
        <w:t>表土、岩石、原煤采装所需柴油消耗量，计算单位采装量柴油消耗量，分别乘以剥离物年采装量得到表土、岩石、原煤采装年柴油消耗量。</w:t>
      </w:r>
    </w:p>
    <w:p w14:paraId="7940EAA3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计算公式：</w:t>
      </w:r>
    </w:p>
    <w:p w14:paraId="79BF1178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drawing>
          <wp:inline distT="0" distB="0" distL="0" distR="0">
            <wp:extent cx="3568700" cy="266065"/>
            <wp:effectExtent l="0" t="0" r="0" b="0"/>
            <wp:docPr id="6" name="_x0000_i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x0000_i10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26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/>
          <w:sz w:val="28"/>
          <w:szCs w:val="28"/>
        </w:rPr>
        <w:t xml:space="preserve">          …………..（6）</w:t>
      </w:r>
    </w:p>
    <w:p w14:paraId="0C65F8B7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式中：</w:t>
      </w:r>
    </w:p>
    <w:p w14:paraId="1CE35BB3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剥离物采装</w:t>
      </w:r>
      <w:r>
        <w:rPr>
          <w:rFonts w:ascii="Times New Roman" w:hAnsi="Times New Roman" w:eastAsia="仿宋_GB2312"/>
          <w:sz w:val="28"/>
          <w:szCs w:val="28"/>
        </w:rPr>
        <w:t>——分别为露天煤矿表土、岩石、原煤采装年柴油消耗量，按表土、岩石、原煤采装分别计算；单位为L/a；</w:t>
      </w:r>
    </w:p>
    <w:p w14:paraId="57574F5E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TB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采装设备i</w:t>
      </w:r>
      <w:r>
        <w:rPr>
          <w:rFonts w:ascii="Times New Roman" w:hAnsi="Times New Roman" w:eastAsia="仿宋_GB2312"/>
          <w:sz w:val="28"/>
          <w:szCs w:val="28"/>
        </w:rPr>
        <w:t>——露天煤矿表土、岩石、原煤采装第i种机械设备对应的台班数，单位为台班/1000m</w:t>
      </w:r>
      <w:r>
        <w:rPr>
          <w:rFonts w:ascii="Times New Roman" w:hAnsi="Times New Roman" w:eastAsia="仿宋_GB2312"/>
          <w:sz w:val="28"/>
          <w:szCs w:val="28"/>
          <w:vertAlign w:val="superscript"/>
        </w:rPr>
        <w:t>3</w:t>
      </w:r>
      <w:r>
        <w:rPr>
          <w:rFonts w:ascii="Times New Roman" w:hAnsi="Times New Roman" w:eastAsia="仿宋_GB2312"/>
          <w:sz w:val="28"/>
          <w:szCs w:val="28"/>
        </w:rPr>
        <w:t>；根据采装剥离物种类、煤岩硬度，按《定额》3.2或3.3取值；根据《定额》总说明，原煤套用相应岩石硬度</w:t>
      </w:r>
      <w:r>
        <w:rPr>
          <w:rFonts w:ascii="Times New Roman" w:hAnsi="Times New Roman" w:eastAsia="仿宋_GB2312"/>
          <w:i/>
          <w:sz w:val="28"/>
          <w:szCs w:val="28"/>
        </w:rPr>
        <w:t>f</w:t>
      </w:r>
      <w:r>
        <w:rPr>
          <w:rFonts w:ascii="Times New Roman" w:hAnsi="Times New Roman" w:eastAsia="仿宋_GB2312"/>
          <w:sz w:val="28"/>
          <w:szCs w:val="28"/>
        </w:rPr>
        <w:t>定额。</w:t>
      </w:r>
    </w:p>
    <w:p w14:paraId="548AF0E7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采装设备i</w:t>
      </w:r>
      <w:r>
        <w:rPr>
          <w:rFonts w:ascii="Times New Roman" w:hAnsi="Times New Roman" w:eastAsia="仿宋_GB2312"/>
          <w:sz w:val="28"/>
          <w:szCs w:val="28"/>
        </w:rPr>
        <w:t>——露天煤矿表土、岩石、原煤采装第i种机械设备单位台班柴油消耗量，单位为L/台班；按《定额》附录B取值；</w:t>
      </w:r>
    </w:p>
    <w:p w14:paraId="592154AB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Q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剥离物采装</w:t>
      </w:r>
      <w:r>
        <w:rPr>
          <w:rFonts w:ascii="Times New Roman" w:hAnsi="Times New Roman" w:eastAsia="仿宋_GB2312"/>
          <w:sz w:val="28"/>
          <w:szCs w:val="28"/>
        </w:rPr>
        <w:t>——露天煤矿表土、岩石、原煤年采装量，单位为m</w:t>
      </w:r>
      <w:r>
        <w:rPr>
          <w:rFonts w:ascii="Times New Roman" w:hAnsi="Times New Roman" w:eastAsia="仿宋_GB2312"/>
          <w:sz w:val="28"/>
          <w:szCs w:val="28"/>
          <w:vertAlign w:val="superscript"/>
        </w:rPr>
        <w:t>3</w:t>
      </w:r>
      <w:r>
        <w:rPr>
          <w:rFonts w:ascii="Times New Roman" w:hAnsi="Times New Roman" w:eastAsia="仿宋_GB2312"/>
          <w:sz w:val="28"/>
          <w:szCs w:val="28"/>
        </w:rPr>
        <w:t>/a。</w:t>
      </w:r>
    </w:p>
    <w:p w14:paraId="5894D4AA">
      <w:pPr>
        <w:pStyle w:val="14"/>
        <w:keepLines w:val="0"/>
        <w:spacing w:before="240" w:after="120" w:line="360" w:lineRule="auto"/>
        <w:ind w:firstLine="562" w:firstLineChars="200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3、运输工序柴油消耗量</w:t>
      </w:r>
    </w:p>
    <w:p w14:paraId="0E846C5A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1）计算公式</w:t>
      </w:r>
    </w:p>
    <w:p w14:paraId="192D45DB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drawing>
          <wp:inline distT="0" distB="0" distL="0" distR="0">
            <wp:extent cx="2463165" cy="241300"/>
            <wp:effectExtent l="0" t="0" r="0" b="0"/>
            <wp:docPr id="7" name="_x0000_i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i10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24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………………..（7）</w:t>
      </w:r>
    </w:p>
    <w:p w14:paraId="5278EE98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式中：</w:t>
      </w:r>
    </w:p>
    <w:p w14:paraId="49CA7D56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运输</w:t>
      </w:r>
      <w:r>
        <w:rPr>
          <w:rFonts w:ascii="Times New Roman" w:hAnsi="Times New Roman" w:eastAsia="仿宋_GB2312"/>
          <w:sz w:val="28"/>
          <w:szCs w:val="28"/>
        </w:rPr>
        <w:t>——露天煤矿运输工序年柴油消耗量，单位为L/a；</w:t>
      </w:r>
    </w:p>
    <w:p w14:paraId="2B7026F7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表土运输</w:t>
      </w:r>
      <w:r>
        <w:rPr>
          <w:rFonts w:ascii="Times New Roman" w:hAnsi="Times New Roman" w:eastAsia="仿宋_GB2312"/>
          <w:sz w:val="28"/>
          <w:szCs w:val="28"/>
        </w:rPr>
        <w:t>——露天煤矿表土运输年柴油消耗量，单位为L/a；</w:t>
      </w:r>
    </w:p>
    <w:p w14:paraId="37551A8C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岩石运输</w:t>
      </w:r>
      <w:r>
        <w:rPr>
          <w:rFonts w:ascii="Times New Roman" w:hAnsi="Times New Roman" w:eastAsia="仿宋_GB2312"/>
          <w:sz w:val="28"/>
          <w:szCs w:val="28"/>
        </w:rPr>
        <w:t>——露天煤矿岩石运输年柴油消耗量，单位为L/a；</w:t>
      </w:r>
    </w:p>
    <w:p w14:paraId="409E1395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原煤运输</w:t>
      </w:r>
      <w:r>
        <w:rPr>
          <w:rFonts w:ascii="Times New Roman" w:hAnsi="Times New Roman" w:eastAsia="仿宋_GB2312"/>
          <w:sz w:val="28"/>
          <w:szCs w:val="28"/>
        </w:rPr>
        <w:t>——露天煤矿原煤运输年柴油消耗量，单位为L/a。</w:t>
      </w:r>
    </w:p>
    <w:p w14:paraId="3FE278E4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2）煤岩土运输柴油消耗量</w:t>
      </w:r>
    </w:p>
    <w:p w14:paraId="1E0D7DF4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参数：自卸卡车吨位、岩石硬度、原煤硬度、不同物料（表土、岩石、原煤）年运输量、不同物料平道运输距离、不同物料重车上坡爬升高度、不同物料重车下坡爬升高度（下坡垂高）。</w:t>
      </w:r>
    </w:p>
    <w:p w14:paraId="38862A3A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计算方法：根据物料种类、岩石硬度、原煤硬度、自卸卡车吨位、运输距离按《定额》“4.2卡车运输”确定运输1000m</w:t>
      </w:r>
      <w:r>
        <w:rPr>
          <w:rFonts w:ascii="Times New Roman" w:hAnsi="Times New Roman" w:eastAsia="仿宋_GB2312"/>
          <w:sz w:val="28"/>
          <w:szCs w:val="28"/>
          <w:vertAlign w:val="superscript"/>
        </w:rPr>
        <w:t>3</w:t>
      </w:r>
      <w:r>
        <w:rPr>
          <w:rFonts w:ascii="Times New Roman" w:hAnsi="Times New Roman" w:eastAsia="仿宋_GB2312"/>
          <w:sz w:val="28"/>
          <w:szCs w:val="28"/>
        </w:rPr>
        <w:t>表土、岩石、原煤柴油消耗量（根据《定额》4.1 ，已包括空、重载运行及调等）；当实际运距与《定额》给定的运距有差异时，按线性内插法调整；当实际超过最大运距时，每增加0.5km，耗油量按1.02系数进行调整计算；重车上坡时，以重车上坡垂直高度套用重车上坡调整定额，按“4.3 重车上坡调整”取值；重车下坡时，按重车下坡油量调整表相应子目录下调耗油量，按“4.4 重车下坡柴油耗量调整表”取值；根据1000m</w:t>
      </w:r>
      <w:r>
        <w:rPr>
          <w:rFonts w:ascii="Times New Roman" w:hAnsi="Times New Roman" w:eastAsia="仿宋_GB2312"/>
          <w:sz w:val="28"/>
          <w:szCs w:val="28"/>
          <w:vertAlign w:val="superscript"/>
        </w:rPr>
        <w:t>3</w:t>
      </w:r>
      <w:r>
        <w:rPr>
          <w:rFonts w:ascii="Times New Roman" w:hAnsi="Times New Roman" w:eastAsia="仿宋_GB2312"/>
          <w:sz w:val="28"/>
          <w:szCs w:val="28"/>
        </w:rPr>
        <w:t>物料运输柴油消耗量，计算单位运输量柴油消耗量，分别乘以物料年运输量得到表土、岩石、原煤运输年柴油消耗量。</w:t>
      </w:r>
    </w:p>
    <w:p w14:paraId="4B568F06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计算公式：</w:t>
      </w:r>
    </w:p>
    <w:p w14:paraId="5B6B7B51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drawing>
          <wp:inline distT="0" distB="0" distL="0" distR="0">
            <wp:extent cx="3771900" cy="241300"/>
            <wp:effectExtent l="0" t="0" r="0" b="0"/>
            <wp:docPr id="8" name="_x0000_i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_i10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4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/>
          <w:sz w:val="28"/>
          <w:szCs w:val="28"/>
        </w:rPr>
        <w:t xml:space="preserve">     …………..（8）</w:t>
      </w:r>
    </w:p>
    <w:p w14:paraId="5BC3BBA8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式中：</w:t>
      </w:r>
    </w:p>
    <w:p w14:paraId="3600673D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物料运输</w:t>
      </w:r>
      <w:r>
        <w:rPr>
          <w:rFonts w:ascii="Times New Roman" w:hAnsi="Times New Roman" w:eastAsia="仿宋_GB2312"/>
          <w:sz w:val="28"/>
          <w:szCs w:val="28"/>
        </w:rPr>
        <w:t>——分别为露天煤矿表土、岩石、原煤运输年柴油消耗量，按表土运输、岩石运输、原煤运输分别计算；单位为L/a；</w:t>
      </w:r>
    </w:p>
    <w:p w14:paraId="3B0F6821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平道运输</w:t>
      </w:r>
      <w:r>
        <w:rPr>
          <w:rFonts w:ascii="Times New Roman" w:hAnsi="Times New Roman" w:eastAsia="仿宋_GB2312"/>
          <w:sz w:val="28"/>
          <w:szCs w:val="28"/>
        </w:rPr>
        <w:t>——露天煤矿表土、岩石、原煤平道运输柴油消耗量，单位为L/1000m</w:t>
      </w:r>
      <w:r>
        <w:rPr>
          <w:rFonts w:ascii="Times New Roman" w:hAnsi="Times New Roman" w:eastAsia="仿宋_GB2312"/>
          <w:sz w:val="28"/>
          <w:szCs w:val="28"/>
          <w:vertAlign w:val="superscript"/>
        </w:rPr>
        <w:t>3</w:t>
      </w:r>
      <w:r>
        <w:rPr>
          <w:rFonts w:ascii="Times New Roman" w:hAnsi="Times New Roman" w:eastAsia="仿宋_GB2312"/>
          <w:sz w:val="28"/>
          <w:szCs w:val="28"/>
        </w:rPr>
        <w:t>；根据自卸卡车吨位、运输物料种类、煤岩硬度，按《定额》4.2取值，并按实际运距调整油耗；根据《定额》总说明，原煤套用相应岩石硬度</w:t>
      </w:r>
      <w:r>
        <w:rPr>
          <w:rFonts w:ascii="Times New Roman" w:hAnsi="Times New Roman" w:eastAsia="仿宋_GB2312"/>
          <w:i/>
          <w:sz w:val="28"/>
          <w:szCs w:val="28"/>
        </w:rPr>
        <w:t>f</w:t>
      </w:r>
      <w:r>
        <w:rPr>
          <w:rFonts w:ascii="Times New Roman" w:hAnsi="Times New Roman" w:eastAsia="仿宋_GB2312"/>
          <w:sz w:val="28"/>
          <w:szCs w:val="28"/>
        </w:rPr>
        <w:t>定额。</w:t>
      </w:r>
    </w:p>
    <w:p w14:paraId="27604C9A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重车上坡</w:t>
      </w:r>
      <w:r>
        <w:rPr>
          <w:rFonts w:ascii="Times New Roman" w:hAnsi="Times New Roman" w:eastAsia="仿宋_GB2312"/>
          <w:sz w:val="28"/>
          <w:szCs w:val="28"/>
        </w:rPr>
        <w:t>——露天煤矿表土、岩石、原煤运输重车上坡柴油消耗量，单位为L/1000m</w:t>
      </w:r>
      <w:r>
        <w:rPr>
          <w:rFonts w:ascii="Times New Roman" w:hAnsi="Times New Roman" w:eastAsia="仿宋_GB2312"/>
          <w:sz w:val="28"/>
          <w:szCs w:val="28"/>
          <w:vertAlign w:val="superscript"/>
        </w:rPr>
        <w:t>3</w:t>
      </w:r>
      <w:r>
        <w:rPr>
          <w:rFonts w:ascii="Times New Roman" w:hAnsi="Times New Roman" w:eastAsia="仿宋_GB2312"/>
          <w:sz w:val="28"/>
          <w:szCs w:val="28"/>
        </w:rPr>
        <w:t>；根据自卸卡车吨位、运输物料种类、煤岩硬度，按《定额》4.3取值，乘以实际爬升高度（m）；根据《定额》总说明，原煤套用相应岩石硬度</w:t>
      </w:r>
      <w:r>
        <w:rPr>
          <w:rFonts w:ascii="Times New Roman" w:hAnsi="Times New Roman" w:eastAsia="仿宋_GB2312"/>
          <w:i/>
          <w:sz w:val="28"/>
          <w:szCs w:val="28"/>
        </w:rPr>
        <w:t>f</w:t>
      </w:r>
      <w:r>
        <w:rPr>
          <w:rFonts w:ascii="Times New Roman" w:hAnsi="Times New Roman" w:eastAsia="仿宋_GB2312"/>
          <w:sz w:val="28"/>
          <w:szCs w:val="28"/>
        </w:rPr>
        <w:t>定额。</w:t>
      </w:r>
    </w:p>
    <w:p w14:paraId="49D69C82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重车下坡</w:t>
      </w:r>
      <w:r>
        <w:rPr>
          <w:rFonts w:ascii="Times New Roman" w:hAnsi="Times New Roman" w:eastAsia="仿宋_GB2312"/>
          <w:sz w:val="28"/>
          <w:szCs w:val="28"/>
        </w:rPr>
        <w:t>——露天煤矿表土、岩石、原煤重车下坡柴油消耗量，单位为L/1000m</w:t>
      </w:r>
      <w:r>
        <w:rPr>
          <w:rFonts w:ascii="Times New Roman" w:hAnsi="Times New Roman" w:eastAsia="仿宋_GB2312"/>
          <w:sz w:val="28"/>
          <w:szCs w:val="28"/>
          <w:vertAlign w:val="superscript"/>
        </w:rPr>
        <w:t>3</w:t>
      </w:r>
      <w:r>
        <w:rPr>
          <w:rFonts w:ascii="Times New Roman" w:hAnsi="Times New Roman" w:eastAsia="仿宋_GB2312"/>
          <w:sz w:val="28"/>
          <w:szCs w:val="28"/>
        </w:rPr>
        <w:t>；根据自卸卡车吨位、运输物料种类、煤岩硬度，按《定额》4.3取值，乘以实际爬升高度（下坡垂高，m）；根据《定额》总说明，原煤套用相应岩石硬度</w:t>
      </w:r>
      <w:r>
        <w:rPr>
          <w:rFonts w:ascii="Times New Roman" w:hAnsi="Times New Roman" w:eastAsia="仿宋_GB2312"/>
          <w:i/>
          <w:sz w:val="28"/>
          <w:szCs w:val="28"/>
        </w:rPr>
        <w:t>f</w:t>
      </w:r>
      <w:r>
        <w:rPr>
          <w:rFonts w:ascii="Times New Roman" w:hAnsi="Times New Roman" w:eastAsia="仿宋_GB2312"/>
          <w:sz w:val="28"/>
          <w:szCs w:val="28"/>
        </w:rPr>
        <w:t>定额。</w:t>
      </w:r>
    </w:p>
    <w:p w14:paraId="6A772DDE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Q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物料运输</w:t>
      </w:r>
      <w:r>
        <w:rPr>
          <w:rFonts w:ascii="Times New Roman" w:hAnsi="Times New Roman" w:eastAsia="仿宋_GB2312"/>
          <w:sz w:val="28"/>
          <w:szCs w:val="28"/>
        </w:rPr>
        <w:t>——露天煤矿表土、岩石、原煤年运输量，单位为m</w:t>
      </w:r>
      <w:r>
        <w:rPr>
          <w:rFonts w:ascii="Times New Roman" w:hAnsi="Times New Roman" w:eastAsia="仿宋_GB2312"/>
          <w:sz w:val="28"/>
          <w:szCs w:val="28"/>
          <w:vertAlign w:val="superscript"/>
        </w:rPr>
        <w:t>3</w:t>
      </w:r>
      <w:r>
        <w:rPr>
          <w:rFonts w:ascii="Times New Roman" w:hAnsi="Times New Roman" w:eastAsia="仿宋_GB2312"/>
          <w:sz w:val="28"/>
          <w:szCs w:val="28"/>
        </w:rPr>
        <w:t>/a。</w:t>
      </w:r>
    </w:p>
    <w:p w14:paraId="603808FF">
      <w:pPr>
        <w:pStyle w:val="14"/>
        <w:keepLines w:val="0"/>
        <w:spacing w:before="240" w:after="120" w:line="360" w:lineRule="auto"/>
        <w:ind w:firstLine="562" w:firstLineChars="200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4、排土工序柴油消耗量</w:t>
      </w:r>
    </w:p>
    <w:p w14:paraId="0ECBFA2C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1）计算公式</w:t>
      </w:r>
    </w:p>
    <w:p w14:paraId="3A392941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drawing>
          <wp:inline distT="0" distB="0" distL="0" distR="0">
            <wp:extent cx="1777365" cy="241300"/>
            <wp:effectExtent l="0" t="0" r="0" b="0"/>
            <wp:docPr id="9" name="_x0000_i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_x0000_i10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24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                ………………..（9） </w:t>
      </w:r>
    </w:p>
    <w:p w14:paraId="75F5423C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式中：</w:t>
      </w:r>
    </w:p>
    <w:p w14:paraId="5AEF6AF8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排土</w:t>
      </w:r>
      <w:r>
        <w:rPr>
          <w:rFonts w:ascii="Times New Roman" w:hAnsi="Times New Roman" w:eastAsia="仿宋_GB2312"/>
          <w:sz w:val="28"/>
          <w:szCs w:val="28"/>
        </w:rPr>
        <w:t>——露天煤矿排土工序年柴油消耗量，单位为L/a；</w:t>
      </w:r>
    </w:p>
    <w:p w14:paraId="52BF9544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表土排弃</w:t>
      </w:r>
      <w:r>
        <w:rPr>
          <w:rFonts w:ascii="Times New Roman" w:hAnsi="Times New Roman" w:eastAsia="仿宋_GB2312"/>
          <w:sz w:val="28"/>
          <w:szCs w:val="28"/>
        </w:rPr>
        <w:t>——露天煤矿表土排弃年柴油消耗量，单位为L/a；</w:t>
      </w:r>
    </w:p>
    <w:p w14:paraId="30DC59B4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岩石排弃</w:t>
      </w:r>
      <w:r>
        <w:rPr>
          <w:rFonts w:ascii="Times New Roman" w:hAnsi="Times New Roman" w:eastAsia="仿宋_GB2312"/>
          <w:sz w:val="28"/>
          <w:szCs w:val="28"/>
        </w:rPr>
        <w:t>——露天煤矿岩石排弃年柴油消耗量，单位为L/a。</w:t>
      </w:r>
    </w:p>
    <w:p w14:paraId="3E9A5D3E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2）岩土排弃柴油消耗量计算</w:t>
      </w:r>
    </w:p>
    <w:p w14:paraId="58BEA44C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参数：排土工艺（推土机排弃、推土机和卸车挡墙联合排弃）、配备的机械设备、岩石硬度、年排土量、年排岩量。</w:t>
      </w:r>
    </w:p>
    <w:p w14:paraId="7ABA932B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计算方法：根据排土工艺、岩石硬度、配备的机械设备按《定额》“5.2 推土机排弃”或“5.3 推土机和卸车挡墙联合排弃”确定排弃1000m</w:t>
      </w:r>
      <w:r>
        <w:rPr>
          <w:rFonts w:ascii="Times New Roman" w:hAnsi="Times New Roman" w:eastAsia="仿宋_GB2312"/>
          <w:sz w:val="28"/>
          <w:szCs w:val="28"/>
          <w:vertAlign w:val="superscript"/>
        </w:rPr>
        <w:t>3</w:t>
      </w:r>
      <w:r>
        <w:rPr>
          <w:rFonts w:ascii="Times New Roman" w:hAnsi="Times New Roman" w:eastAsia="仿宋_GB2312"/>
          <w:sz w:val="28"/>
          <w:szCs w:val="28"/>
        </w:rPr>
        <w:t>表土、岩石柴油消耗量，计算单位排弃量柴油消耗量，分别乘以年排弃量得到表土、岩石排弃年柴油消耗量。</w:t>
      </w:r>
    </w:p>
    <w:p w14:paraId="72823FE9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计算公式：</w:t>
      </w:r>
    </w:p>
    <w:p w14:paraId="09B78C7E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drawing>
          <wp:inline distT="0" distB="0" distL="0" distR="0">
            <wp:extent cx="2286000" cy="241300"/>
            <wp:effectExtent l="0" t="0" r="0" b="0"/>
            <wp:docPr id="10" name="_x0000_i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x0000_i103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4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  ………………..（10） </w:t>
      </w:r>
    </w:p>
    <w:p w14:paraId="586431E8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式中：</w:t>
      </w:r>
    </w:p>
    <w:p w14:paraId="7ACFD60E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岩土排弃</w:t>
      </w:r>
      <w:r>
        <w:rPr>
          <w:rFonts w:ascii="Times New Roman" w:hAnsi="Times New Roman" w:eastAsia="仿宋_GB2312"/>
          <w:sz w:val="28"/>
          <w:szCs w:val="28"/>
        </w:rPr>
        <w:t>——分别为露天煤矿表土、岩石排弃年柴油消耗量，按表土排弃、岩石排弃分别计算；单位为L/a；</w:t>
      </w:r>
    </w:p>
    <w:p w14:paraId="22797516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CY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排弃设备</w:t>
      </w:r>
      <w:r>
        <w:rPr>
          <w:rFonts w:ascii="Times New Roman" w:hAnsi="Times New Roman" w:eastAsia="仿宋_GB2312"/>
          <w:sz w:val="28"/>
          <w:szCs w:val="28"/>
        </w:rPr>
        <w:t>——露天煤矿表土、岩石排弃柴油消耗量，单位为L/1000m</w:t>
      </w:r>
      <w:r>
        <w:rPr>
          <w:rFonts w:ascii="Times New Roman" w:hAnsi="Times New Roman" w:eastAsia="仿宋_GB2312"/>
          <w:sz w:val="28"/>
          <w:szCs w:val="28"/>
          <w:vertAlign w:val="superscript"/>
        </w:rPr>
        <w:t>3</w:t>
      </w:r>
      <w:r>
        <w:rPr>
          <w:rFonts w:ascii="Times New Roman" w:hAnsi="Times New Roman" w:eastAsia="仿宋_GB2312"/>
          <w:sz w:val="28"/>
          <w:szCs w:val="28"/>
        </w:rPr>
        <w:t>；根据排土工艺、排弃物料、岩石硬度、排弃设备配备按《定额》5.2或5.3取值；</w:t>
      </w:r>
    </w:p>
    <w:p w14:paraId="6C0CECD0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Q</w:t>
      </w:r>
      <w:r>
        <w:rPr>
          <w:rFonts w:ascii="Times New Roman" w:hAnsi="Times New Roman" w:eastAsia="仿宋_GB2312"/>
          <w:sz w:val="28"/>
          <w:szCs w:val="28"/>
          <w:vertAlign w:val="subscript"/>
        </w:rPr>
        <w:t>岩土排弃</w:t>
      </w:r>
      <w:r>
        <w:rPr>
          <w:rFonts w:ascii="Times New Roman" w:hAnsi="Times New Roman" w:eastAsia="仿宋_GB2312"/>
          <w:sz w:val="28"/>
          <w:szCs w:val="28"/>
        </w:rPr>
        <w:t>——露天煤矿表土、岩石年排弃量，单位为m</w:t>
      </w:r>
      <w:r>
        <w:rPr>
          <w:rFonts w:ascii="Times New Roman" w:hAnsi="Times New Roman" w:eastAsia="仿宋_GB2312"/>
          <w:sz w:val="28"/>
          <w:szCs w:val="28"/>
          <w:vertAlign w:val="superscript"/>
        </w:rPr>
        <w:t>3</w:t>
      </w:r>
      <w:r>
        <w:rPr>
          <w:rFonts w:ascii="Times New Roman" w:hAnsi="Times New Roman" w:eastAsia="仿宋_GB2312"/>
          <w:sz w:val="28"/>
          <w:szCs w:val="28"/>
        </w:rPr>
        <w:t>/a。</w:t>
      </w:r>
    </w:p>
    <w:p w14:paraId="6EE9A85B">
      <w:pPr>
        <w:pStyle w:val="14"/>
        <w:keepLines w:val="0"/>
        <w:spacing w:before="240" w:after="120" w:line="360" w:lineRule="auto"/>
        <w:ind w:firstLine="562" w:firstLineChars="200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5、辅助生产系统及附属生产系统柴油消耗量</w:t>
      </w:r>
    </w:p>
    <w:p w14:paraId="44DF76B8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根据煤矿柴油发电机、</w:t>
      </w:r>
      <w:r>
        <w:rPr>
          <w:rFonts w:hint="eastAsia" w:ascii="Times New Roman" w:hAnsi="Times New Roman" w:eastAsia="仿宋_GB2312"/>
          <w:sz w:val="28"/>
          <w:szCs w:val="28"/>
        </w:rPr>
        <w:t>燃油车辆</w:t>
      </w:r>
      <w:r>
        <w:rPr>
          <w:rFonts w:ascii="Times New Roman" w:hAnsi="Times New Roman" w:eastAsia="仿宋_GB2312"/>
          <w:sz w:val="28"/>
          <w:szCs w:val="28"/>
        </w:rPr>
        <w:t>等设备或车辆配备情况计算辅助及附属生产系统年柴油消耗量，单位为L/a。</w:t>
      </w:r>
    </w:p>
    <w:p w14:paraId="38BAD396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柴油发电机年柴油消耗量可根据柴油发电机小时耗油量、年运行时间计算；</w:t>
      </w:r>
      <w:r>
        <w:rPr>
          <w:rFonts w:hint="eastAsia" w:ascii="Times New Roman" w:hAnsi="Times New Roman" w:eastAsia="仿宋_GB2312"/>
          <w:sz w:val="28"/>
          <w:szCs w:val="28"/>
        </w:rPr>
        <w:t>燃油</w:t>
      </w:r>
      <w:r>
        <w:rPr>
          <w:rFonts w:ascii="Times New Roman" w:hAnsi="Times New Roman" w:eastAsia="仿宋_GB2312"/>
          <w:sz w:val="28"/>
          <w:szCs w:val="28"/>
        </w:rPr>
        <w:t>车辆等可按百公里油耗、年行驶公里数计算。</w:t>
      </w:r>
    </w:p>
    <w:p w14:paraId="190EA6B5">
      <w:pPr>
        <w:pStyle w:val="14"/>
        <w:keepLines w:val="0"/>
        <w:spacing w:before="240" w:after="120" w:line="360" w:lineRule="auto"/>
        <w:ind w:firstLine="562" w:firstLineChars="200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三、</w:t>
      </w:r>
      <w:r>
        <w:rPr>
          <w:rFonts w:hint="eastAsia" w:eastAsia="仿宋_GB2312"/>
          <w:b/>
          <w:sz w:val="28"/>
          <w:szCs w:val="28"/>
        </w:rPr>
        <w:t>存在问题</w:t>
      </w:r>
    </w:p>
    <w:p w14:paraId="308A8EA7">
      <w:pPr>
        <w:spacing w:after="0" w:line="360" w:lineRule="auto"/>
        <w:ind w:firstLine="560" w:firstLineChars="200"/>
        <w:jc w:val="both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1、</w:t>
      </w:r>
      <w:r>
        <w:rPr>
          <w:rFonts w:ascii="Times New Roman" w:hAnsi="Times New Roman" w:eastAsia="仿宋_GB2312"/>
          <w:sz w:val="28"/>
          <w:szCs w:val="28"/>
        </w:rPr>
        <w:t>露天煤矿穿孔爆破、采装、运输、排土工序柴油消耗量计算中，若单项用能工序涉及多种型号机械设备（或多种型号机械设备组合）、多种吨位自卸卡车，各工序单位柴油消耗量</w:t>
      </w:r>
      <w:r>
        <w:rPr>
          <w:rFonts w:hint="eastAsia" w:ascii="Times New Roman" w:hAnsi="Times New Roman" w:eastAsia="仿宋_GB2312"/>
          <w:sz w:val="28"/>
          <w:szCs w:val="28"/>
        </w:rPr>
        <w:t>建议</w:t>
      </w:r>
      <w:r>
        <w:rPr>
          <w:rFonts w:ascii="Times New Roman" w:hAnsi="Times New Roman" w:eastAsia="仿宋_GB2312"/>
          <w:sz w:val="28"/>
          <w:szCs w:val="28"/>
        </w:rPr>
        <w:t>计算不同型号机械设备、不同吨位自卸卡车的单位柴油消耗量后进行算术平均，得到各工序单位平均柴油消耗量后再计算各工序年柴油消耗量。</w:t>
      </w:r>
    </w:p>
    <w:p w14:paraId="77F2617E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2、设计选用的机械设备或车辆可能</w:t>
      </w:r>
      <w:r>
        <w:rPr>
          <w:rFonts w:hint="eastAsia" w:ascii="Times New Roman" w:hAnsi="Times New Roman" w:eastAsia="仿宋_GB2312"/>
          <w:sz w:val="28"/>
          <w:szCs w:val="28"/>
        </w:rPr>
        <w:t>与《定额》中给出的机械设备或车辆存在差异，在《定额》中无法查询，难以计算；出现该种情况，建议按机械设备或车辆额定耗油量，结合运行时间（运输距离）进行计算。</w:t>
      </w:r>
    </w:p>
    <w:p w14:paraId="0DB42613">
      <w:pPr>
        <w:spacing w:after="0" w:line="360" w:lineRule="auto"/>
        <w:ind w:firstLine="560" w:firstLineChars="200"/>
        <w:jc w:val="both"/>
        <w:rPr>
          <w:rFonts w:ascii="Times New Roman" w:hAnsi="Times New Roman" w:eastAsia="仿宋_GB2312"/>
          <w:sz w:val="28"/>
          <w:szCs w:val="28"/>
        </w:rPr>
      </w:pPr>
    </w:p>
    <w:sectPr>
      <w:footerReference r:id="rId4" w:type="default"/>
      <w:pgSz w:w="11907" w:h="16840"/>
      <w:pgMar w:top="1304" w:right="1531" w:bottom="1304" w:left="1531" w:header="284" w:footer="851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78385">
    <w:pPr>
      <w:pStyle w:val="21"/>
      <w:spacing w:after="0"/>
      <w:ind w:right="360" w:firstLine="360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AA5266">
                          <w:pPr>
                            <w:pStyle w:val="21"/>
                            <w:spacing w:after="0"/>
                            <w:rPr>
                              <w:rFonts w:ascii="Times New Roman" w:hAnsi="Times New Roman" w:eastAsia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9"/>
                              <w:rFonts w:ascii="Times New Roman" w:hAnsi="Times New Roman" w:eastAsia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9"/>
                              <w:rFonts w:ascii="Times New Roman" w:hAnsi="Times New Roman" w:eastAsia="宋体"/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29"/>
                              <w:rFonts w:hint="eastAsia" w:ascii="宋体" w:hAnsi="宋体" w:eastAsia="宋体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E320149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2MbPBNMAAAAFAQAADwAAAAAAAAABACAAAAAiAAAAZHJzL2Rvd25yZXYueG1sUEsBAhQAFAAA&#10;AAgAh07iQLa1ey+7AQAAhw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3AAA5266">
                    <w:pPr>
                      <w:pStyle w:val="21"/>
                      <w:spacing w:after="0"/>
                      <w:rPr>
                        <w:rFonts w:ascii="Times New Roman" w:hAnsi="Times New Roman" w:eastAsia="宋体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eastAsia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9"/>
                        <w:rFonts w:ascii="Times New Roman" w:hAnsi="Times New Roman" w:eastAsia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9"/>
                        <w:rFonts w:ascii="Times New Roman" w:hAnsi="Times New Roman" w:eastAsia="宋体"/>
                        <w:sz w:val="21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eastAsia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Style w:val="29"/>
                        <w:rFonts w:hint="eastAsia" w:ascii="宋体" w:hAnsi="宋体" w:eastAsia="宋体"/>
                        <w:sz w:val="20"/>
                        <w:szCs w:val="20"/>
                      </w:rPr>
                      <w:t xml:space="preserve">  </w:t>
                    </w:r>
                  </w:p>
                  <w:p w14:paraId="5E320149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5D2FAA"/>
    <w:multiLevelType w:val="singleLevel"/>
    <w:tmpl w:val="7C5D2FAA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compat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72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31"/>
    <w:qFormat/>
    <w:uiPriority w:val="0"/>
    <w:rPr>
      <w:rFonts w:ascii="宋体" w:hAnsi="Tahoma" w:eastAsia="宋体"/>
      <w:sz w:val="18"/>
      <w:szCs w:val="18"/>
    </w:rPr>
  </w:style>
  <w:style w:type="paragraph" w:styleId="3">
    <w:name w:val="Body Text Indent"/>
    <w:basedOn w:val="1"/>
    <w:link w:val="36"/>
    <w:qFormat/>
    <w:uiPriority w:val="0"/>
    <w:pPr>
      <w:widowControl w:val="0"/>
      <w:snapToGrid/>
      <w:spacing w:after="0" w:line="233" w:lineRule="auto"/>
      <w:ind w:firstLine="570"/>
      <w:jc w:val="both"/>
    </w:pPr>
    <w:rPr>
      <w:rFonts w:ascii="仿宋_GB2312" w:hAnsi="Times New Roman" w:eastAsia="仿宋_GB2312"/>
      <w:sz w:val="28"/>
      <w:szCs w:val="20"/>
    </w:rPr>
  </w:style>
  <w:style w:type="paragraph" w:styleId="4">
    <w:name w:val="Plain Text"/>
    <w:basedOn w:val="1"/>
    <w:link w:val="33"/>
    <w:qFormat/>
    <w:uiPriority w:val="0"/>
    <w:pPr>
      <w:widowControl w:val="0"/>
      <w:snapToGrid/>
      <w:spacing w:after="0"/>
      <w:jc w:val="both"/>
    </w:pPr>
    <w:rPr>
      <w:rFonts w:ascii="宋体" w:hAnsi="Courier New" w:eastAsia="宋体"/>
      <w:kern w:val="2"/>
      <w:sz w:val="21"/>
      <w:szCs w:val="20"/>
    </w:rPr>
  </w:style>
  <w:style w:type="paragraph" w:styleId="5">
    <w:name w:val="Date"/>
    <w:basedOn w:val="1"/>
    <w:link w:val="34"/>
    <w:qFormat/>
    <w:uiPriority w:val="0"/>
    <w:pPr>
      <w:ind w:left="100" w:leftChars="2500"/>
    </w:pPr>
    <w:rPr>
      <w:rFonts w:ascii="Tahoma" w:hAnsi="Tahoma"/>
    </w:rPr>
  </w:style>
  <w:style w:type="paragraph" w:styleId="6">
    <w:name w:val="Body Text Indent 2"/>
    <w:basedOn w:val="1"/>
    <w:link w:val="32"/>
    <w:qFormat/>
    <w:uiPriority w:val="0"/>
    <w:pPr>
      <w:widowControl w:val="0"/>
      <w:snapToGrid/>
      <w:spacing w:after="0" w:line="312" w:lineRule="atLeast"/>
      <w:ind w:firstLine="570"/>
      <w:jc w:val="distribute"/>
    </w:pPr>
    <w:rPr>
      <w:rFonts w:ascii="Times New Roman" w:hAnsi="Times New Roman" w:eastAsia="仿宋_GB2312"/>
      <w:sz w:val="28"/>
      <w:szCs w:val="20"/>
    </w:rPr>
  </w:style>
  <w:style w:type="paragraph" w:styleId="7">
    <w:name w:val="Normal (Web)"/>
    <w:basedOn w:val="1"/>
    <w:qFormat/>
    <w:uiPriority w:val="0"/>
    <w:pPr>
      <w:snapToGrid/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paragraph" w:styleId="8">
    <w:name w:val="annotation subject"/>
    <w:basedOn w:val="9"/>
    <w:link w:val="35"/>
    <w:qFormat/>
    <w:uiPriority w:val="0"/>
    <w:rPr>
      <w:rFonts w:ascii="Tahoma" w:hAnsi="Tahoma"/>
      <w:b/>
      <w:bCs/>
    </w:rPr>
  </w:style>
  <w:style w:type="paragraph" w:customStyle="1" w:styleId="9">
    <w:name w:val="批注文字1"/>
    <w:basedOn w:val="1"/>
    <w:link w:val="18"/>
    <w:qFormat/>
    <w:uiPriority w:val="0"/>
    <w:rPr>
      <w:rFonts w:ascii="Tahoma" w:hAnsi="Tahoma"/>
    </w:rPr>
  </w:style>
  <w:style w:type="character" w:styleId="12">
    <w:name w:val="page number"/>
    <w:link w:val="1"/>
    <w:qFormat/>
    <w:uiPriority w:val="0"/>
  </w:style>
  <w:style w:type="character" w:styleId="13">
    <w:name w:val="annotation reference"/>
    <w:link w:val="1"/>
    <w:qFormat/>
    <w:uiPriority w:val="0"/>
    <w:rPr>
      <w:sz w:val="21"/>
      <w:szCs w:val="21"/>
    </w:rPr>
  </w:style>
  <w:style w:type="paragraph" w:customStyle="1" w:styleId="14">
    <w:name w:val="标题 21"/>
    <w:basedOn w:val="1"/>
    <w:link w:val="17"/>
    <w:qFormat/>
    <w:uiPriority w:val="0"/>
    <w:pPr>
      <w:keepNext/>
      <w:keepLines/>
      <w:widowControl w:val="0"/>
      <w:snapToGrid/>
      <w:spacing w:after="0" w:line="360" w:lineRule="exact"/>
      <w:jc w:val="both"/>
      <w:outlineLvl w:val="1"/>
    </w:pPr>
    <w:rPr>
      <w:rFonts w:ascii="Times New Roman" w:hAnsi="Times New Roman" w:eastAsia="宋体"/>
      <w:bCs/>
      <w:kern w:val="2"/>
      <w:sz w:val="21"/>
      <w:szCs w:val="32"/>
    </w:rPr>
  </w:style>
  <w:style w:type="character" w:customStyle="1" w:styleId="15">
    <w:name w:val="默认段落字体1"/>
    <w:link w:val="1"/>
    <w:qFormat/>
    <w:uiPriority w:val="0"/>
  </w:style>
  <w:style w:type="table" w:customStyle="1" w:styleId="16">
    <w:name w:val="普通表格1"/>
    <w:qFormat/>
    <w:uiPriority w:val="0"/>
  </w:style>
  <w:style w:type="character" w:customStyle="1" w:styleId="17">
    <w:name w:val="标题 2 Char"/>
    <w:link w:val="14"/>
    <w:qFormat/>
    <w:uiPriority w:val="0"/>
    <w:rPr>
      <w:rFonts w:ascii="Times New Roman" w:hAnsi="Times New Roman" w:eastAsia="宋体"/>
      <w:bCs/>
      <w:kern w:val="2"/>
      <w:sz w:val="21"/>
      <w:szCs w:val="32"/>
    </w:rPr>
  </w:style>
  <w:style w:type="character" w:customStyle="1" w:styleId="18">
    <w:name w:val="批注文字 Char"/>
    <w:link w:val="9"/>
    <w:qFormat/>
    <w:uiPriority w:val="0"/>
    <w:rPr>
      <w:rFonts w:ascii="Tahoma" w:hAnsi="Tahoma"/>
    </w:rPr>
  </w:style>
  <w:style w:type="paragraph" w:customStyle="1" w:styleId="19">
    <w:name w:val="批注框文本1"/>
    <w:basedOn w:val="1"/>
    <w:link w:val="20"/>
    <w:qFormat/>
    <w:uiPriority w:val="0"/>
    <w:pPr>
      <w:spacing w:after="0"/>
    </w:pPr>
    <w:rPr>
      <w:rFonts w:ascii="Tahoma" w:hAnsi="Tahoma"/>
      <w:sz w:val="18"/>
      <w:szCs w:val="18"/>
    </w:rPr>
  </w:style>
  <w:style w:type="character" w:customStyle="1" w:styleId="20">
    <w:name w:val="批注框文本 Char"/>
    <w:link w:val="19"/>
    <w:qFormat/>
    <w:uiPriority w:val="0"/>
    <w:rPr>
      <w:rFonts w:ascii="Tahoma" w:hAnsi="Tahoma"/>
      <w:sz w:val="18"/>
      <w:szCs w:val="18"/>
    </w:rPr>
  </w:style>
  <w:style w:type="paragraph" w:customStyle="1" w:styleId="21">
    <w:name w:val="页脚1"/>
    <w:basedOn w:val="1"/>
    <w:link w:val="22"/>
    <w:qFormat/>
    <w:uiPriority w:val="0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character" w:customStyle="1" w:styleId="22">
    <w:name w:val="页脚 Char"/>
    <w:link w:val="21"/>
    <w:qFormat/>
    <w:uiPriority w:val="0"/>
    <w:rPr>
      <w:rFonts w:ascii="Tahoma" w:hAnsi="Tahoma"/>
      <w:sz w:val="18"/>
      <w:szCs w:val="18"/>
    </w:rPr>
  </w:style>
  <w:style w:type="paragraph" w:customStyle="1" w:styleId="23">
    <w:name w:val="页眉1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/>
      <w:sz w:val="18"/>
      <w:szCs w:val="18"/>
    </w:rPr>
  </w:style>
  <w:style w:type="character" w:customStyle="1" w:styleId="24">
    <w:name w:val="页眉 Char"/>
    <w:link w:val="23"/>
    <w:qFormat/>
    <w:uiPriority w:val="0"/>
    <w:rPr>
      <w:rFonts w:ascii="Tahoma" w:hAnsi="Tahoma"/>
      <w:sz w:val="18"/>
      <w:szCs w:val="18"/>
    </w:rPr>
  </w:style>
  <w:style w:type="paragraph" w:customStyle="1" w:styleId="25">
    <w:name w:val="目录 21"/>
    <w:basedOn w:val="1"/>
    <w:qFormat/>
    <w:uiPriority w:val="0"/>
    <w:pPr>
      <w:ind w:left="420" w:leftChars="200"/>
    </w:pPr>
  </w:style>
  <w:style w:type="paragraph" w:customStyle="1" w:styleId="26">
    <w:name w:val="批注主题1"/>
    <w:basedOn w:val="9"/>
    <w:link w:val="27"/>
    <w:qFormat/>
    <w:uiPriority w:val="0"/>
    <w:rPr>
      <w:rFonts w:ascii="Tahoma" w:hAnsi="Tahoma" w:eastAsia="微软雅黑"/>
      <w:b/>
      <w:bCs/>
      <w:sz w:val="22"/>
      <w:szCs w:val="22"/>
    </w:rPr>
  </w:style>
  <w:style w:type="character" w:customStyle="1" w:styleId="27">
    <w:name w:val="批注主题 Char1"/>
    <w:link w:val="26"/>
    <w:qFormat/>
    <w:uiPriority w:val="0"/>
    <w:rPr>
      <w:rFonts w:ascii="Tahoma" w:hAnsi="Tahoma" w:eastAsia="微软雅黑"/>
      <w:b/>
      <w:bCs/>
      <w:sz w:val="22"/>
      <w:szCs w:val="22"/>
    </w:rPr>
  </w:style>
  <w:style w:type="character" w:customStyle="1" w:styleId="28">
    <w:name w:val="要点1"/>
    <w:link w:val="1"/>
    <w:qFormat/>
    <w:uiPriority w:val="0"/>
    <w:rPr>
      <w:b/>
      <w:bCs/>
    </w:rPr>
  </w:style>
  <w:style w:type="character" w:customStyle="1" w:styleId="29">
    <w:name w:val="页码1"/>
    <w:link w:val="1"/>
    <w:qFormat/>
    <w:uiPriority w:val="0"/>
  </w:style>
  <w:style w:type="character" w:customStyle="1" w:styleId="30">
    <w:name w:val="批注引用1"/>
    <w:link w:val="1"/>
    <w:qFormat/>
    <w:uiPriority w:val="0"/>
    <w:rPr>
      <w:sz w:val="21"/>
      <w:szCs w:val="21"/>
    </w:rPr>
  </w:style>
  <w:style w:type="character" w:customStyle="1" w:styleId="31">
    <w:name w:val="文档结构图 Char"/>
    <w:link w:val="2"/>
    <w:qFormat/>
    <w:uiPriority w:val="0"/>
    <w:rPr>
      <w:rFonts w:ascii="宋体" w:hAnsi="Tahoma" w:eastAsia="宋体"/>
      <w:sz w:val="18"/>
      <w:szCs w:val="18"/>
    </w:rPr>
  </w:style>
  <w:style w:type="character" w:customStyle="1" w:styleId="32">
    <w:name w:val="正文文本缩进 2 Char"/>
    <w:link w:val="6"/>
    <w:qFormat/>
    <w:uiPriority w:val="0"/>
    <w:rPr>
      <w:rFonts w:ascii="Times New Roman" w:hAnsi="Times New Roman" w:eastAsia="仿宋_GB2312"/>
      <w:sz w:val="28"/>
      <w:szCs w:val="20"/>
    </w:rPr>
  </w:style>
  <w:style w:type="character" w:customStyle="1" w:styleId="33">
    <w:name w:val="纯文本 Char1"/>
    <w:link w:val="4"/>
    <w:qFormat/>
    <w:uiPriority w:val="0"/>
    <w:rPr>
      <w:rFonts w:ascii="宋体" w:hAnsi="Courier New" w:eastAsia="宋体"/>
      <w:kern w:val="2"/>
      <w:sz w:val="21"/>
      <w:szCs w:val="20"/>
    </w:rPr>
  </w:style>
  <w:style w:type="character" w:customStyle="1" w:styleId="34">
    <w:name w:val="日期 Char"/>
    <w:link w:val="5"/>
    <w:qFormat/>
    <w:uiPriority w:val="0"/>
    <w:rPr>
      <w:rFonts w:ascii="Tahoma" w:hAnsi="Tahoma"/>
    </w:rPr>
  </w:style>
  <w:style w:type="character" w:customStyle="1" w:styleId="35">
    <w:name w:val="批注主题 Char"/>
    <w:link w:val="8"/>
    <w:qFormat/>
    <w:uiPriority w:val="0"/>
    <w:rPr>
      <w:rFonts w:ascii="Tahoma" w:hAnsi="Tahoma"/>
      <w:b/>
      <w:bCs/>
    </w:rPr>
  </w:style>
  <w:style w:type="character" w:customStyle="1" w:styleId="36">
    <w:name w:val="正文文本缩进 Char"/>
    <w:link w:val="3"/>
    <w:qFormat/>
    <w:uiPriority w:val="0"/>
    <w:rPr>
      <w:rFonts w:ascii="仿宋_GB2312" w:hAnsi="Times New Roman" w:eastAsia="仿宋_GB2312"/>
      <w:sz w:val="28"/>
      <w:szCs w:val="20"/>
    </w:rPr>
  </w:style>
  <w:style w:type="character" w:customStyle="1" w:styleId="37">
    <w:name w:val="纯文本 Char"/>
    <w:link w:val="1"/>
    <w:qFormat/>
    <w:uiPriority w:val="0"/>
    <w:rPr>
      <w:rFonts w:ascii="宋体" w:hAnsi="Courier New" w:eastAsia="宋体"/>
      <w:sz w:val="21"/>
      <w:szCs w:val="21"/>
    </w:rPr>
  </w:style>
  <w:style w:type="paragraph" w:customStyle="1" w:styleId="38">
    <w:name w:val="列出段落"/>
    <w:basedOn w:val="1"/>
    <w:qFormat/>
    <w:uiPriority w:val="0"/>
    <w:pPr>
      <w:widowControl w:val="0"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styleId="39">
    <w:name w:val="List Paragraph"/>
    <w:basedOn w:val="1"/>
    <w:qFormat/>
    <w:uiPriority w:val="0"/>
    <w:pPr>
      <w:widowControl w:val="0"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1">
    <w:name w:val="普通(网站)1"/>
    <w:basedOn w:val="1"/>
    <w:qFormat/>
    <w:uiPriority w:val="0"/>
    <w:pPr>
      <w:snapToGrid/>
      <w:spacing w:before="100" w:beforeAutospacing="1" w:after="100" w:afterAutospacing="1"/>
    </w:pPr>
    <w:rPr>
      <w:rFonts w:hint="eastAsia" w:ascii="宋体" w:hAnsi="宋体" w:eastAsia="宋体"/>
      <w:sz w:val="24"/>
    </w:rPr>
  </w:style>
  <w:style w:type="paragraph" w:customStyle="1" w:styleId="42">
    <w:name w:val="正文 New New New New New New New New New"/>
    <w:qFormat/>
    <w:uiPriority w:val="0"/>
    <w:pPr>
      <w:widowControl w:val="0"/>
      <w:spacing w:line="588" w:lineRule="exact"/>
      <w:ind w:firstLine="200" w:firstLineChars="200"/>
      <w:jc w:val="both"/>
    </w:pPr>
    <w:rPr>
      <w:rFonts w:ascii="Calibri" w:hAnsi="Calibri" w:eastAsia="宋体" w:cs="Times New Roman"/>
      <w:kern w:val="2"/>
      <w:sz w:val="30"/>
      <w:szCs w:val="24"/>
      <w:lang w:val="en-US" w:eastAsia="zh-CN" w:bidi="ar-SA"/>
    </w:rPr>
  </w:style>
  <w:style w:type="paragraph" w:customStyle="1" w:styleId="43">
    <w:name w:val="样式1"/>
    <w:basedOn w:val="1"/>
    <w:uiPriority w:val="0"/>
    <w:pPr>
      <w:widowControl w:val="0"/>
      <w:snapToGrid/>
      <w:spacing w:after="0"/>
      <w:jc w:val="center"/>
    </w:pPr>
    <w:rPr>
      <w:rFonts w:ascii="Calibri" w:hAnsi="Calibri" w:eastAsia="宋体"/>
      <w:kern w:val="2"/>
      <w:sz w:val="24"/>
      <w:szCs w:val="24"/>
    </w:rPr>
  </w:style>
  <w:style w:type="paragraph" w:customStyle="1" w:styleId="44">
    <w:name w:val="WPSOffice手动目录 1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wmf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wmf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3543</Words>
  <Characters>3932</Characters>
  <Lines>0</Lines>
  <Paragraphs>0</Paragraphs>
  <TotalTime>0</TotalTime>
  <ScaleCrop>false</ScaleCrop>
  <LinksUpToDate>false</LinksUpToDate>
  <CharactersWithSpaces>4160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2024-10-25T09:28:33Z</dcterms:created>
  <dc:creator>Q</dc:creator>
  <cp:lastModifiedBy>Q</cp:lastModifiedBy>
  <dcterms:modified xsi:type="dcterms:W3CDTF">2024-10-25T09:29:21Z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07664419F9D247EF9A89921E077220B6_13</vt:lpwstr>
  </property>
</Properties>
</file>