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ind w:firstLine="616" w:firstLineChars="20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 w:val="en-US" w:eastAsia="zh-CN"/>
        </w:rPr>
        <w:t>贵州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兴源煤矿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32"/>
          <w:szCs w:val="32"/>
          <w:lang w:val="en-US" w:eastAsia="zh-CN"/>
        </w:rPr>
        <w:t>科技有限责任公司检测检验机构信息公开表</w:t>
      </w:r>
    </w:p>
    <w:bookmarkEnd w:id="0"/>
    <w:tbl>
      <w:tblPr>
        <w:tblStyle w:val="10"/>
        <w:tblW w:w="9678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658"/>
        <w:gridCol w:w="714"/>
        <w:gridCol w:w="564"/>
        <w:gridCol w:w="81"/>
        <w:gridCol w:w="29"/>
        <w:gridCol w:w="110"/>
        <w:gridCol w:w="1808"/>
        <w:gridCol w:w="2088"/>
        <w:gridCol w:w="1087"/>
        <w:gridCol w:w="8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7309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贵州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兴源煤矿</w:t>
            </w:r>
            <w:r>
              <w:rPr>
                <w:rFonts w:hint="eastAsia" w:ascii="宋体" w:hAnsi="宋体" w:cs="仿宋"/>
                <w:sz w:val="24"/>
                <w:szCs w:val="24"/>
              </w:rPr>
              <w:t>科技有限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责任</w:t>
            </w:r>
            <w:r>
              <w:rPr>
                <w:rFonts w:hint="eastAsia" w:ascii="宋体" w:hAnsi="宋体" w:cs="仿宋"/>
                <w:sz w:val="24"/>
                <w:szCs w:val="24"/>
              </w:rPr>
              <w:t>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75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统一社会信用代码/注册号</w:t>
            </w:r>
          </w:p>
        </w:tc>
        <w:tc>
          <w:tcPr>
            <w:tcW w:w="59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Helvetica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915201007753111035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通信地址</w:t>
            </w:r>
          </w:p>
        </w:tc>
        <w:tc>
          <w:tcPr>
            <w:tcW w:w="33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贵阳市观山湖区中天会展城会展东路D座14楼</w:t>
            </w:r>
          </w:p>
        </w:tc>
        <w:tc>
          <w:tcPr>
            <w:tcW w:w="20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9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550081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实验室地址</w:t>
            </w:r>
          </w:p>
        </w:tc>
        <w:tc>
          <w:tcPr>
            <w:tcW w:w="33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贵阳市观山湖区中天会展城会展东路D座14楼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550081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机构信息公开网址</w:t>
            </w:r>
          </w:p>
        </w:tc>
        <w:tc>
          <w:tcPr>
            <w:tcW w:w="33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www</w:t>
            </w:r>
            <w:r>
              <w:rPr>
                <w:rFonts w:hint="eastAsia" w:ascii="宋体" w:hAnsi="宋体" w:cs="仿宋"/>
                <w:sz w:val="24"/>
                <w:szCs w:val="24"/>
              </w:rPr>
              <w:t>.gzxy360.cn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熊怀义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机构联系人</w:t>
            </w:r>
          </w:p>
        </w:tc>
        <w:tc>
          <w:tcPr>
            <w:tcW w:w="33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周庆博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15086004188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主持检测检验工作负责人</w:t>
            </w:r>
          </w:p>
        </w:tc>
        <w:tc>
          <w:tcPr>
            <w:tcW w:w="33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樊建华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技术负责人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王先刚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资质证书编号</w:t>
            </w:r>
          </w:p>
        </w:tc>
        <w:tc>
          <w:tcPr>
            <w:tcW w:w="33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leader="underscore" w:pos="1260"/>
              </w:tabs>
              <w:spacing w:line="360" w:lineRule="auto"/>
              <w:jc w:val="left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黔 煤监 2102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发证日期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2021年5月6日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23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 资质证书批准部门</w:t>
            </w:r>
          </w:p>
        </w:tc>
        <w:tc>
          <w:tcPr>
            <w:tcW w:w="330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贵州省能源局</w:t>
            </w:r>
          </w:p>
        </w:tc>
        <w:tc>
          <w:tcPr>
            <w:tcW w:w="20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有效日期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仿宋"/>
                <w:sz w:val="24"/>
                <w:szCs w:val="24"/>
              </w:rPr>
              <w:t>2</w:t>
            </w:r>
            <w:r>
              <w:rPr>
                <w:rFonts w:ascii="宋体" w:hAnsi="宋体" w:cs="仿宋"/>
                <w:sz w:val="24"/>
                <w:szCs w:val="24"/>
              </w:rPr>
              <w:t>02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cs="仿宋"/>
                <w:sz w:val="24"/>
                <w:szCs w:val="24"/>
              </w:rPr>
              <w:t>年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cs="仿宋"/>
                <w:sz w:val="24"/>
                <w:szCs w:val="24"/>
              </w:rPr>
              <w:t>月</w:t>
            </w:r>
            <w:r>
              <w:rPr>
                <w:rFonts w:hint="eastAsia" w:ascii="宋体" w:hAnsi="宋体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cs="仿宋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678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ascii="仿宋_GB2312" w:hAnsi="Helvetica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批准的业务范围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711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58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产品/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产品类别</w:t>
            </w:r>
          </w:p>
        </w:tc>
        <w:tc>
          <w:tcPr>
            <w:tcW w:w="3306" w:type="dxa"/>
            <w:gridSpan w:val="6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项目/参数</w:t>
            </w:r>
          </w:p>
        </w:tc>
        <w:tc>
          <w:tcPr>
            <w:tcW w:w="2088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依据标准（方法）名称及编号（含年号）</w:t>
            </w:r>
          </w:p>
        </w:tc>
        <w:tc>
          <w:tcPr>
            <w:tcW w:w="1087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限制范围</w:t>
            </w:r>
          </w:p>
        </w:tc>
        <w:tc>
          <w:tcPr>
            <w:tcW w:w="828" w:type="dxa"/>
            <w:vMerge w:val="restart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711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92" w:type="dxa"/>
            <w:gridSpan w:val="5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08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煤矿在用主通风机系统</w:t>
            </w:r>
          </w:p>
        </w:tc>
        <w:tc>
          <w:tcPr>
            <w:tcW w:w="7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Style w:val="11"/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证</w:t>
            </w:r>
            <w:r>
              <w:rPr>
                <w:rStyle w:val="11"/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/>
                <w:lang w:val="en-US" w:eastAsia="zh-CN"/>
              </w:rPr>
              <w:t>件审查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《煤矿在用主通风机系统安全检测检验规范》AQ1011-2005</w:t>
            </w:r>
          </w:p>
          <w:p>
            <w:pPr>
              <w:pStyle w:val="2"/>
              <w:ind w:left="0" w:leftChars="0" w:hanging="15" w:firstLineChars="0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GB/T6402-2008《钢锻件超声检测方法》</w:t>
            </w:r>
          </w:p>
          <w:p>
            <w:pPr>
              <w:pStyle w:val="2"/>
              <w:ind w:left="0" w:leftChars="0" w:hanging="15" w:firstLineChars="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JB/T9218-2015《无损探伤 渗透检测》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外观质量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/>
                <w:lang w:val="en-US" w:eastAsia="zh-CN"/>
              </w:rPr>
              <w:t>电动机</w:t>
            </w:r>
            <w:r>
              <w:rPr>
                <w:rStyle w:val="11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运行</w:t>
            </w:r>
            <w:r>
              <w:rPr>
                <w:rStyle w:val="11"/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/>
                <w:lang w:val="en-US" w:eastAsia="zh-CN"/>
              </w:rPr>
              <w:t>效</w:t>
            </w:r>
            <w:r>
              <w:rPr>
                <w:rStyle w:val="11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安全保护及</w:t>
            </w:r>
            <w:r>
              <w:rPr>
                <w:rStyle w:val="11"/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/>
                <w:lang w:val="en-US" w:eastAsia="zh-CN"/>
              </w:rPr>
              <w:t>措</w:t>
            </w:r>
            <w:r>
              <w:rPr>
                <w:rStyle w:val="11"/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/>
              </w:rPr>
              <w:t>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通风机</w:t>
            </w:r>
            <w:r>
              <w:rPr>
                <w:rStyle w:val="11"/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/>
                <w:lang w:val="en-US" w:eastAsia="zh-CN"/>
              </w:rPr>
              <w:t>装置</w:t>
            </w:r>
            <w:r>
              <w:rPr>
                <w:rStyle w:val="11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运行效率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1.6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振动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1.7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cs="宋体"/>
                <w:color w:val="auto"/>
                <w:sz w:val="21"/>
                <w:szCs w:val="21"/>
                <w:u w:val="none"/>
                <w:shd w:val="clear"/>
                <w:lang w:val="en-US" w:eastAsia="zh-CN"/>
              </w:rPr>
              <w:t>噪声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仿宋_GB2312" w:cs="宋体"/>
                <w:color w:val="auto"/>
                <w:sz w:val="21"/>
                <w:szCs w:val="21"/>
                <w:u w:val="none"/>
                <w:shd w:val="clear"/>
              </w:rPr>
              <w:t>轴承与电机温度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电动机绝缘电阻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</w:rPr>
              <w:t>接地电阻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叶片单侧间隙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喘振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空气密度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1.1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风量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风压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1.16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转速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1.17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主轴探伤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1.18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叶片探伤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spacing w:line="300" w:lineRule="exact"/>
              <w:ind w:left="0" w:leftChars="0" w:right="0" w:rightChars="0"/>
              <w:jc w:val="center"/>
              <w:rPr>
                <w:rFonts w:hint="eastAsia" w:ascii="宋体" w:hAnsi="宋体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  <w:u w:val="none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1561"/>
              </w:tabs>
              <w:spacing w:line="300" w:lineRule="exact"/>
              <w:jc w:val="center"/>
              <w:rPr>
                <w:rFonts w:hint="default" w:ascii="宋体" w:hAnsi="宋体" w:eastAsia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</w:rPr>
              <w:t>煤矿在用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u w:val="none"/>
                <w:lang w:val="en-US" w:eastAsia="zh-CN"/>
              </w:rPr>
              <w:t>主排水系统</w:t>
            </w:r>
          </w:p>
        </w:tc>
        <w:tc>
          <w:tcPr>
            <w:tcW w:w="7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2.1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流量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《煤矿在用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主排水系统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安全检测检验规范》AQ101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-2005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扬程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转速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振动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噪声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2.6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水泵运行效率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2.7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电机运行效率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2.8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吨水百米电耗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2.9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left="0" w:leftChars="0" w:right="0" w:rightChars="0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/>
              </w:rPr>
              <w:t>性能曲线图的测试（泵运行工况点及性能曲线）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2.10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水泵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2.11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管路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2.12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配电设备（单泵启动时间）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2.13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泵房出口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2.14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水仓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2.15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机房温度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</w:p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空气压缩机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系统</w:t>
            </w:r>
          </w:p>
        </w:tc>
        <w:tc>
          <w:tcPr>
            <w:tcW w:w="7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外观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《煤矿在用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空气压缩机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系统安全检测检验规范》AQ101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-2005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证件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安全保护装置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风包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容积流量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3.6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排气压力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3.7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转速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3.8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比功率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3.9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噪声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3.10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振动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缠绕式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提升机系统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4.1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机房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照明设施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《煤矿在用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缠绕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式提升机系统安全检测检验规范》AQ101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-2005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4.2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作业场所噪声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4.3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温湿度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4.4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消防设施及设备防护栅栏、警示牌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4.5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悬挂的技术特征资料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4.6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固定防护装置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4.7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立井井口公布的资料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4.8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  <w:t>提升装置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主轴、滚筒的性能缺陷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4.9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滚筒上缠绕2层或2层以上钢丝绳时的情况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4.10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滚筒上缠绕钢丝绳的层数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4.11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立井天轮、滚筒上绕绳部分的最小直径与钢丝绳中最粗钢丝直径之比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4.12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滚筒、天轮的最小直径与钢丝绳直径之比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4.13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钢丝绳绳头在滚筒上的固定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4.14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提升速度及最大减速度、加速度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4.15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钢丝绳的最大静张力和最大静张力差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4.16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块式制动器的传动杆、制动横拉杆和拉杆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4.17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制动轮或制动盘上降低摩擦系数的介质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4.18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闸瓦与制动轮或制动盘间的间隙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4.19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制动轮的径向跳动或制动盘的端面跳动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4.20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制动闸瓦同制动轮或制动盘的接触面积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4.21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制动轮或制动盘的表面深沟及沟纹总宽度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4.22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提升机制动系统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制动减速度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4.23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应具备的安全设施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4.24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保险闸及常用闸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4.25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空动时间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4.26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制动力矩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4.27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定车装置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4.28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液压系统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液压系统状况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4.29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调压性能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4.30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二级制动性能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4.31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蓄压器停机15min后的活塞下降距离；块式制动器停机后压力下降值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4.32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油温及油温温升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4.33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装设的保险装置及要求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防止过卷装置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4.34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防过速装置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4.35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限速装置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4.36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闸间隙保护装置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4.37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松绳保护装置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4.38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满仓保护装置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4.39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减速功能保护装置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4.40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深度指示器失效保护装置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4.41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过负荷和欠压保护装置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4.42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保护装置的双线设置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4.43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信号装置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声光信号装置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4.44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升降人员和主要井口提升机的信号装置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4.45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提升信号的联锁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4.46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安全回路、信号回路的闭锁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4.47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双回路电源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4.48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电气系统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4.49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接地电阻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4.50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探伤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煤矿在用提升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绞车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系统</w:t>
            </w:r>
          </w:p>
        </w:tc>
        <w:tc>
          <w:tcPr>
            <w:tcW w:w="7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5.1</w:t>
            </w:r>
          </w:p>
        </w:tc>
        <w:tc>
          <w:tcPr>
            <w:tcW w:w="645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机房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照明设施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《煤矿在用提升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绞车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系统安全检测检验规范》AQ101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-2005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GB/T6402-2008《钢锻件超声检测方法》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5.2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作业场所噪声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5.3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温湿度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5.4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固定防护装置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5.5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立井井口公布的资料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5.6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提升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主轴、滚筒的性能缺陷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5.7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缠绕钢丝绳的层数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5.8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滚筒上缠绕2层或2层以上钢丝绳时的情况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5.9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钢丝绳绳头在卷筒上的固定情况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5.10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通过天轮的钢丝绳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5.11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钢丝绳的最大静张力和最大静张力差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5.12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制动系统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块式制动器的传动杆、制动横拉杆和拉杆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5.13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制动轮或制动盘上降低摩擦系数的介质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5.14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制动轮的径向跳动或制动盘的端面跳动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5.15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制动系统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闸瓦与制动轮或制动盘间的间隙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5.16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制动闸瓦与制动轮或制动盘的接触面积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5.17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制动轮或制动盘的表面深沟及沟纹总宽度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5.18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制动减速度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5.19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应具备的安全设施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5.20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保险闸、常用闸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5.21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空动时间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5.22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制动力矩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5.23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定车装置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5.24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液压系统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液压系统状况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5.25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调压性能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5.26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蓄压器停机15min后的活塞下降距离；块式制动器停机后压力下降值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5.27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二级制动性能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5.28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装设的保险装置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防止过卷装置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5.29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松绳保护装置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5.30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深度指示器失效保护装置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5.31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过负荷和欠压保护装置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5.32</w:t>
            </w:r>
          </w:p>
        </w:tc>
        <w:tc>
          <w:tcPr>
            <w:tcW w:w="645" w:type="dxa"/>
            <w:gridSpan w:val="2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信号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声、光信号装置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5.33</w:t>
            </w:r>
          </w:p>
        </w:tc>
        <w:tc>
          <w:tcPr>
            <w:tcW w:w="64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电气系统</w:t>
            </w: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绝缘电阻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5.34</w:t>
            </w:r>
          </w:p>
        </w:tc>
        <w:tc>
          <w:tcPr>
            <w:tcW w:w="64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947" w:type="dxa"/>
            <w:gridSpan w:val="3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接地电阻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5.35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探伤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重要用途钢丝绳（验收及新钢丝绳悬挂）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6.1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钢丝绳直径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cs="宋体"/>
                <w:b w:val="0"/>
                <w:color w:val="auto"/>
                <w:kern w:val="2"/>
                <w:sz w:val="21"/>
                <w:szCs w:val="21"/>
              </w:rPr>
              <w:t>《</w:t>
            </w:r>
            <w:r>
              <w:rPr>
                <w:rStyle w:val="12"/>
                <w:rFonts w:hint="eastAsia" w:cs="宋体"/>
                <w:b w:val="0"/>
                <w:color w:val="auto"/>
                <w:kern w:val="2"/>
                <w:sz w:val="21"/>
                <w:szCs w:val="21"/>
                <w:lang w:val="en-US" w:eastAsia="zh-CN"/>
              </w:rPr>
              <w:t>煤矿重要用途钢丝绳验收技术条件</w:t>
            </w:r>
            <w:r>
              <w:rPr>
                <w:rStyle w:val="12"/>
                <w:rFonts w:hint="eastAsia" w:cs="宋体"/>
                <w:b w:val="0"/>
                <w:color w:val="auto"/>
                <w:kern w:val="2"/>
                <w:sz w:val="21"/>
                <w:szCs w:val="21"/>
              </w:rPr>
              <w:t>》</w:t>
            </w:r>
            <w:r>
              <w:rPr>
                <w:rStyle w:val="12"/>
                <w:rFonts w:hint="eastAsia" w:cs="宋体"/>
                <w:b w:val="0"/>
                <w:color w:val="auto"/>
                <w:kern w:val="2"/>
                <w:sz w:val="21"/>
                <w:szCs w:val="21"/>
                <w:lang w:val="en-US" w:eastAsia="zh-CN"/>
              </w:rPr>
              <w:t>MT/T716-1999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钢丝直径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钢丝破断拉力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反复弯曲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扭转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6.6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抗拉强度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6.7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不合格钢丝数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不合格钢丝断面积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6.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取样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重要用途钢丝绳（在用钢丝绳）</w:t>
            </w:r>
          </w:p>
        </w:tc>
        <w:tc>
          <w:tcPr>
            <w:tcW w:w="7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7.1</w:t>
            </w:r>
          </w:p>
        </w:tc>
        <w:tc>
          <w:tcPr>
            <w:tcW w:w="2592" w:type="dxa"/>
            <w:gridSpan w:val="5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钢丝绳直径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《煤矿重要用途在用钢丝绳性能测定方法及判定规则》MT/T717-1999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钢丝直径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钢丝破断拉力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反复弯曲次数 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抗拉强度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7.6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不合格钢丝数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7.7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不合格钢丝断面积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7.8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安全系数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窄轨车辆连接链 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8.1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外观检查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AQ1112-2014《煤矿在用窄轨车辆连接链检验规范》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8.2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二倍最大静荷重载试验时的永久伸长率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煤矿在用窄轨车辆连接插销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9.1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外观检查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AQ1113-2014《煤矿在用窄轨车辆连接插销检验规范》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9.2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二倍最大静荷重载试验时的永久伸长率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用架空乘人装置</w:t>
            </w:r>
          </w:p>
        </w:tc>
        <w:tc>
          <w:tcPr>
            <w:tcW w:w="71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空载运行</w:t>
            </w:r>
          </w:p>
        </w:tc>
        <w:tc>
          <w:tcPr>
            <w:tcW w:w="2028" w:type="dxa"/>
            <w:gridSpan w:val="4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乘人装置运行情况</w:t>
            </w:r>
          </w:p>
        </w:tc>
        <w:tc>
          <w:tcPr>
            <w:tcW w:w="2088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AQ1038-2007《煤矿用架空乘人装置安全检验规范》</w:t>
            </w:r>
          </w:p>
        </w:tc>
        <w:tc>
          <w:tcPr>
            <w:tcW w:w="108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操纵台控制按钮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制动应安全可靠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10.4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负载运行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钢丝绳导向装置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操纵台控制按钮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10.6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制动应安全可靠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10.7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钢丝绳导向装置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10.8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司机头部位置噪声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减速箱油温温升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10.10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牵引力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10.11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导向装置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钢丝绳导向支撑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10.12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压轮运转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10.13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制动装置性能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10.14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制动器最大制动力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10.15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工作制动器的平均减速度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10.16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制动闸瓦不允许情况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10.17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制动闸瓦不准情况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10.18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托轮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托轮运行情况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10.19</w:t>
            </w:r>
          </w:p>
        </w:tc>
        <w:tc>
          <w:tcPr>
            <w:tcW w:w="56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抱索器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抱索器钳口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10.20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吊椅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吊椅运行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10.21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吊椅自滑现行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10.22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尾轮及张紧装置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尾轮装置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10.23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尾轮最大预张紧力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10.24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乘人装置张紧装置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10.25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重锤落地保护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10.26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液压系统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液压控制系统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10.27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过压和超温保护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10.28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液压站油温及温升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10.29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液压油箱标记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10.30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压力表精度等级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10.31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安全防护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工作制动器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10.32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紧急停车开关装置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10.33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紧急停车开关装置情况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10.34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紧急停车开关装置安装间距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10.35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巷道实际倾角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10.36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运行速度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10.37</w:t>
            </w:r>
          </w:p>
        </w:tc>
        <w:tc>
          <w:tcPr>
            <w:tcW w:w="564" w:type="dxa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安全防护</w:t>
            </w: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乘坐间距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10.38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吊杆和牵引绳连接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10.39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越位保护装置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10.40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总急停开关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10.41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保护装置和保护措施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10.42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紧急停车装置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10.43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过流、过压、欠压保护装置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10.44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声、光信号装置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10.45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掉绳保护装置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10.47</w:t>
            </w:r>
          </w:p>
        </w:tc>
        <w:tc>
          <w:tcPr>
            <w:tcW w:w="564" w:type="dxa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防过摆装置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煤矿在用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瓦斯泵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11.1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证件审查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GB/T13929-2010《水环真空泵和水环压缩机试验方法》、《煤矿安全规程》、DB52T1212-2017《煤矿地面在用瓦斯泵及瓦斯泵站安全检验规范》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11.2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外观质量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泵站建筑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泵站供电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安全监测仪器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11.6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泵房电气设备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11.7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泵站围墙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11.8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安全间距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11.9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泵站消防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11.10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避雷装置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11.11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运转记录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放空管高度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防瓦斯积聚的设施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泵的配置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瓦斯利用的安全装置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11.16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断水保护装置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11.17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转速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11.18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电动机输出功率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11.19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接地电阻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11.20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振动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11.21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瓦斯泵噪声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11.22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值班室噪声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11.23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流量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11.24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入口绝对压力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11.25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出口绝对压力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11.26</w:t>
            </w: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等温压缩效率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165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煤矿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用带式输送机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</w:rPr>
              <w:t>12.1</w:t>
            </w:r>
          </w:p>
        </w:tc>
        <w:tc>
          <w:tcPr>
            <w:tcW w:w="784" w:type="dxa"/>
            <w:gridSpan w:val="4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使用条件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软启动装置</w:t>
            </w:r>
          </w:p>
        </w:tc>
        <w:tc>
          <w:tcPr>
            <w:tcW w:w="2088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煤矿用带式输送机 技术条件》MT820-2006</w:t>
            </w: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</w:rPr>
              <w:t>12.2</w:t>
            </w:r>
          </w:p>
        </w:tc>
        <w:tc>
          <w:tcPr>
            <w:tcW w:w="784" w:type="dxa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安全要求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证件审查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</w:rPr>
              <w:t>12.3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跑偏保护装置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</w:rPr>
              <w:t>12.4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打滑保护装置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</w:rPr>
              <w:t>12.5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堆煤保护装置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</w:rPr>
              <w:t>12.6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烟雾保护装置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</w:rPr>
              <w:t>12.7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超温洒水保护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i w:val="0"/>
                <w:i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5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12.8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防撕裂保护装置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12.9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防护装置和警示标志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12.10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零部件表面温度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12.11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双向急停开关保护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12.12</w:t>
            </w:r>
          </w:p>
        </w:tc>
        <w:tc>
          <w:tcPr>
            <w:tcW w:w="784" w:type="dxa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整机性能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adjustRightInd/>
              <w:spacing w:line="300" w:lineRule="exact"/>
              <w:jc w:val="left"/>
              <w:rPr>
                <w:rFonts w:hint="default" w:ascii="宋体" w:hAnsi="宋体" w:eastAsia="仿宋_GB2312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带速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12.13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 w:cs="Times New Roman"/>
                <w:i w:val="0"/>
                <w:iCs w:val="0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default" w:ascii="宋体" w:hAnsi="宋体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/>
              </w:rPr>
              <w:t>输送量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12.14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功率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12.15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加速度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12.16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输送机运行要求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 w:val="0"/>
                <w:i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12.17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输送带运行要求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12.18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制动装置和逆止装置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12.19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机电保护装置和电控装置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12.20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运行噪声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12.21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ind w:right="0" w:rightChars="0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张紧装置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12.22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液压元件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12.23</w:t>
            </w:r>
          </w:p>
        </w:tc>
        <w:tc>
          <w:tcPr>
            <w:tcW w:w="784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i w:val="0"/>
                <w:i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清扫器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hAnsi="Courier New" w:eastAsia="仿宋_GB2312" w:cs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ascii="仿宋_GB2312" w:eastAsia="仿宋_GB2312"/>
                <w:i/>
                <w:i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711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65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2592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以下空白</w:t>
            </w:r>
          </w:p>
        </w:tc>
        <w:tc>
          <w:tcPr>
            <w:tcW w:w="2088" w:type="dxa"/>
            <w:vMerge w:val="continue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hAnsi="宋体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textAlignment w:val="auto"/>
              <w:rPr>
                <w:rFonts w:hint="eastAsia" w:ascii="仿宋_GB2312" w:hAnsi="Courier New" w:eastAsia="仿宋_GB2312" w:cs="Times New Roman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320" w:lineRule="exact"/>
        <w:ind w:left="161" w:leftChars="0" w:right="0" w:rightChars="0" w:hanging="161" w:hangingChars="71"/>
        <w:textAlignment w:val="auto"/>
        <w:rPr>
          <w:sz w:val="24"/>
          <w:szCs w:val="24"/>
        </w:rPr>
        <w:sectPr>
          <w:pgSz w:w="11906" w:h="16838"/>
          <w:pgMar w:top="1440" w:right="1474" w:bottom="1440" w:left="1587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eastAsia="仿宋_GB2312"/>
          <w:sz w:val="24"/>
          <w:szCs w:val="24"/>
          <w:lang w:eastAsia="zh-CN"/>
        </w:rPr>
      </w:pPr>
    </w:p>
    <w:p>
      <w:pPr>
        <w:pStyle w:val="7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2"/>
          <w:szCs w:val="32"/>
          <w:lang w:val="en-US" w:eastAsia="zh-CN"/>
        </w:rPr>
        <w:t>资 质 证 书</w:t>
      </w:r>
    </w:p>
    <w:p>
      <w:pPr>
        <w:pStyle w:val="7"/>
        <w:snapToGrid w:val="0"/>
        <w:ind w:left="0" w:leftChars="0" w:firstLine="0" w:firstLineChars="0"/>
        <w:jc w:val="center"/>
        <w:rPr>
          <w:rFonts w:hint="default" w:ascii="宋体" w:hAnsi="宋体" w:cs="Times New Roman"/>
          <w:bCs/>
          <w:szCs w:val="22"/>
          <w:lang w:val="en-US" w:eastAsia="zh-CN"/>
        </w:rPr>
      </w:pPr>
      <w:r>
        <w:rPr>
          <w:rFonts w:hint="eastAsia" w:ascii="宋体" w:hAnsi="宋体" w:cs="Times New Roman"/>
          <w:bCs/>
          <w:szCs w:val="22"/>
          <w:lang w:val="en-US" w:eastAsia="zh-CN"/>
        </w:rPr>
        <w:t>授权签字人及授权签字领域</w:t>
      </w:r>
    </w:p>
    <w:p>
      <w:pPr>
        <w:pStyle w:val="7"/>
        <w:snapToGrid w:val="0"/>
        <w:ind w:left="24" w:leftChars="-200" w:hanging="640" w:hangingChars="200"/>
        <w:jc w:val="center"/>
        <w:rPr>
          <w:rFonts w:hint="eastAsia" w:ascii="仿宋_GB2312" w:hAnsi="仿宋_GB2312" w:eastAsia="仿宋_GB2312" w:cs="仿宋_GB2312"/>
          <w:b w:val="0"/>
          <w:bCs/>
          <w:spacing w:val="20"/>
          <w:sz w:val="28"/>
          <w:szCs w:val="28"/>
          <w:lang w:val="en-US" w:eastAsia="zh-CN"/>
        </w:rPr>
      </w:pPr>
    </w:p>
    <w:p>
      <w:pPr>
        <w:pStyle w:val="7"/>
        <w:snapToGrid w:val="0"/>
        <w:ind w:left="0" w:leftChars="0" w:firstLine="0" w:firstLineChars="0"/>
        <w:jc w:val="left"/>
        <w:rPr>
          <w:rFonts w:hint="eastAsia" w:ascii="宋体" w:hAnsi="宋体" w:cs="Times New Roman"/>
          <w:bCs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机构名称：贵州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兴源煤矿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科技有限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责任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公司</w:t>
      </w:r>
    </w:p>
    <w:p>
      <w:pPr>
        <w:pStyle w:val="7"/>
        <w:snapToGrid w:val="0"/>
        <w:ind w:left="4752" w:leftChars="0" w:hanging="4752" w:hangingChars="2400"/>
        <w:jc w:val="left"/>
        <w:rPr>
          <w:rFonts w:hint="eastAsia" w:ascii="宋体" w:hAnsi="宋体" w:cs="Times New Roman"/>
          <w:bCs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场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所：贵州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兴源煤矿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科技有限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责任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公司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地址：</w:t>
      </w:r>
      <w:r>
        <w:rPr>
          <w:rFonts w:hint="eastAsia" w:ascii="宋体" w:hAnsi="宋体" w:cs="仿宋"/>
          <w:sz w:val="24"/>
          <w:szCs w:val="24"/>
        </w:rPr>
        <w:t>贵阳市观山湖区中天会展城会展东路D座14楼</w:t>
      </w:r>
    </w:p>
    <w:p>
      <w:pPr>
        <w:pStyle w:val="7"/>
        <w:snapToGrid w:val="0"/>
        <w:ind w:left="0" w:leftChars="0" w:firstLine="0" w:firstLineChars="0"/>
        <w:jc w:val="left"/>
        <w:rPr>
          <w:rFonts w:hint="default" w:ascii="宋体" w:hAnsi="宋体" w:cs="Times New Roman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 xml:space="preserve">证书编号：黔 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煤监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 xml:space="preserve"> 2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 xml:space="preserve">102         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有效期至：202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6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年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月</w:t>
      </w:r>
      <w:r>
        <w:rPr>
          <w:rFonts w:hint="eastAsia" w:hAnsi="宋体" w:cs="Times New Roman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cs="Times New Roman"/>
          <w:bCs/>
          <w:sz w:val="21"/>
          <w:szCs w:val="21"/>
          <w:lang w:val="en-US" w:eastAsia="zh-CN"/>
        </w:rPr>
        <w:t>日</w:t>
      </w:r>
    </w:p>
    <w:tbl>
      <w:tblPr>
        <w:tblStyle w:val="10"/>
        <w:tblW w:w="87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272"/>
        <w:gridCol w:w="3844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授权签字人姓名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授权签字领域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  <w:t>胡召勇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授权项目全领域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hint="default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王先刚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授权项目全领域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25"/>
                <w:tab w:val="left" w:pos="840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（以下空白）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（以下空白）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napToGrid w:val="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 w:hAnsi="宋体"/>
          <w:lang w:eastAsia="zh-CN"/>
        </w:rPr>
      </w:pPr>
    </w:p>
    <w:p>
      <w:pPr>
        <w:pStyle w:val="9"/>
        <w:rPr>
          <w:rFonts w:hint="eastAsia"/>
          <w:lang w:eastAsia="zh-CN"/>
        </w:rPr>
      </w:pPr>
    </w:p>
    <w:p/>
    <w:p/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1" w:fontKey="{623BE865-0C74-4388-8EE0-9FA059E57F34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41E4C9B-620A-4103-B5D4-CA0702B70B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EC5728-F709-4983-AD58-5FA9F3258BA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6F76FC7-7338-4A54-8993-306AFA66B077}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  <w:embedRegular r:id="rId5" w:fontKey="{CEA240AC-E92C-4BA7-80B1-03BB10D060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66A97D09-1659-4889-AB2F-6B39679FD5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CD06568C-FDBC-409F-A4B4-F353EA9FB76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5CF56835"/>
    <w:rsid w:val="0FE6591E"/>
    <w:rsid w:val="19DC4C88"/>
    <w:rsid w:val="1BF7C314"/>
    <w:rsid w:val="2103305D"/>
    <w:rsid w:val="304A4BC8"/>
    <w:rsid w:val="3BCB12A4"/>
    <w:rsid w:val="561B5E79"/>
    <w:rsid w:val="5CF56835"/>
    <w:rsid w:val="604702B3"/>
    <w:rsid w:val="6D8C6ECA"/>
    <w:rsid w:val="7B423A3E"/>
    <w:rsid w:val="7C4B4E2D"/>
    <w:rsid w:val="BFE97AC5"/>
    <w:rsid w:val="E797608D"/>
    <w:rsid w:val="E9DF47EE"/>
    <w:rsid w:val="FDE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autoRedefine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autoRedefine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table of figures"/>
    <w:basedOn w:val="1"/>
    <w:next w:val="1"/>
    <w:autoRedefine/>
    <w:qFormat/>
    <w:uiPriority w:val="99"/>
    <w:pPr>
      <w:autoSpaceDE w:val="0"/>
      <w:autoSpaceDN w:val="0"/>
      <w:spacing w:line="360" w:lineRule="auto"/>
      <w:ind w:left="200" w:leftChars="200" w:hanging="200" w:hangingChars="200"/>
    </w:pPr>
    <w:rPr>
      <w:sz w:val="28"/>
      <w:szCs w:val="20"/>
    </w:rPr>
  </w:style>
  <w:style w:type="paragraph" w:styleId="9">
    <w:name w:val="Title"/>
    <w:basedOn w:val="1"/>
    <w:next w:val="1"/>
    <w:autoRedefine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2927</Words>
  <Characters>3913</Characters>
  <Lines>0</Lines>
  <Paragraphs>0</Paragraphs>
  <TotalTime>3</TotalTime>
  <ScaleCrop>false</ScaleCrop>
  <LinksUpToDate>false</LinksUpToDate>
  <CharactersWithSpaces>3950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2024-01-11T13:34:00Z</dcterms:created>
  <dc:creator>凡尘</dc:creator>
  <cp:lastModifiedBy>Q</cp:lastModifiedBy>
  <cp:lastPrinted>2024-01-11T19:43:00Z</cp:lastPrinted>
  <dcterms:modified xsi:type="dcterms:W3CDTF">2024-01-15T08:35:25Z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0AD901D46A9245BD894780115E753D89_13</vt:lpwstr>
  </property>
</Properties>
</file>