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03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342"/>
        <w:gridCol w:w="53"/>
        <w:gridCol w:w="854"/>
        <w:gridCol w:w="137"/>
        <w:gridCol w:w="2942"/>
        <w:gridCol w:w="349"/>
        <w:gridCol w:w="1491"/>
        <w:gridCol w:w="271"/>
        <w:gridCol w:w="1394"/>
        <w:gridCol w:w="15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CESI黑体-GB2312" w:hAnsi="CESI黑体-GB2312" w:eastAsia="CESI黑体-GB2312" w:cs="CESI黑体-GB2312"/>
                <w:color w:val="000000"/>
                <w:sz w:val="28"/>
                <w:szCs w:val="28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贵州瑞龙宇方矿用产品检验有限公司检测检验机构信息公开表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83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贵州瑞龙宇方矿用产品检验有限公司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9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统一社会信用代码/注册号</w:t>
            </w:r>
          </w:p>
        </w:tc>
        <w:tc>
          <w:tcPr>
            <w:tcW w:w="73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91520112MA7LER076U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Hlk130401658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贵州省贵阳市白云区大山洞街道白云北路1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550014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实验室地址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贵州省贵阳市白云区大山洞街道白云北路1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lang w:bidi="ar"/>
              </w:rPr>
              <w:t>550014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机构信息公开网址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http://www.gzrlyf.com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胡鑫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机构联系人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马鑫睿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</w:rPr>
              <w:t>6685570065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主持检测检验工作负责人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龚琦森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技术负责人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龚琦森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资质证书编号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lang w:val="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黔 煤监2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" w:bidi="ar"/>
              </w:rPr>
              <w:t>3</w:t>
            </w:r>
            <w:r>
              <w:rPr>
                <w:rFonts w:ascii="宋体" w:hAnsi="宋体" w:cs="宋体"/>
                <w:color w:val="auto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0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发证日期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lang w:val="en"/>
              </w:rPr>
              <w:t>2023</w:t>
            </w:r>
            <w:r>
              <w:rPr>
                <w:rFonts w:hint="eastAsia" w:ascii="宋体" w:hAnsi="宋体" w:cs="宋体"/>
                <w:color w:val="auto"/>
                <w:sz w:val="24"/>
                <w:lang w:val="en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资质证书批准部门</w:t>
            </w:r>
          </w:p>
        </w:tc>
        <w:tc>
          <w:tcPr>
            <w:tcW w:w="3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贵州省能源局</w:t>
            </w:r>
          </w:p>
        </w:tc>
        <w:tc>
          <w:tcPr>
            <w:tcW w:w="1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有效日期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lang w:val="en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lang w:val="en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333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lang w:bidi="ar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5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1" w:name="_Hlk130399878"/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342" w:type="dxa"/>
            <w:vMerge w:val="restart"/>
            <w:tcBorders>
              <w:bottom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产品/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产品类别</w:t>
            </w:r>
          </w:p>
        </w:tc>
        <w:tc>
          <w:tcPr>
            <w:tcW w:w="4335" w:type="dxa"/>
            <w:gridSpan w:val="5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项目/参数</w:t>
            </w:r>
          </w:p>
        </w:tc>
        <w:tc>
          <w:tcPr>
            <w:tcW w:w="1762" w:type="dxa"/>
            <w:gridSpan w:val="2"/>
            <w:vMerge w:val="restart"/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依据标准（方法）名称及编号（含年号）</w:t>
            </w:r>
          </w:p>
        </w:tc>
        <w:tc>
          <w:tcPr>
            <w:tcW w:w="139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限制范围</w:t>
            </w:r>
          </w:p>
        </w:tc>
        <w:tc>
          <w:tcPr>
            <w:tcW w:w="935" w:type="dxa"/>
            <w:gridSpan w:val="2"/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65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2" w:type="dxa"/>
            <w:vMerge w:val="continue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7" w:type="dxa"/>
            <w:gridSpan w:val="2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28" w:type="dxa"/>
            <w:gridSpan w:val="3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76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9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煤矿在用主通风机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《煤矿在用主通风机系统安全检测检验规范》AQ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1011-2005</w:t>
            </w: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外观质量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安全保护及设施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风压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运行效率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输入功率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轴承与电机温度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振动速度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叶片径向间隙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电动机绝缘电阻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1.13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接地电阻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煤矿在用主排水系统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证件审查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《煤矿在用主排水系统安全检测检验规范》AQ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1012-2005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扬程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泵的效率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输入功率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吨水百米电耗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水泵配置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管路效率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配电设备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起动时间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泵房出口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水仓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2.16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机房温度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煤矿在用空气压缩机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外观质量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《煤矿在用空气压缩机安全检测检验规范》AQ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1013-2005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证件审查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安全保护装置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压缩机油闪点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容积流量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排气压力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比功率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振动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煤矿在用缠绕式提升机系统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《煤矿在用缠绕式提升机系统安全检测检验规范》AQ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1015-2005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机房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提升装置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提升机制动系统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液压系统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保护装置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信号装置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煤矿在用提升绞车系统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《煤矿在用提升绞车系统安全检测检验规范》AQ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1016-2005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机房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提升装置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提升机制动系统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液压系统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保护装置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信号装置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煤矿用架空乘人装置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《煤矿用架空乘人装置安全检验规范》AQ1038-2007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运行速度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钢丝绳导向装置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吊椅性能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制动装置性能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托轮性能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抱索器性能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尾轮及张紧装置性能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液压系统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6.13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安全防护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带式输送机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《煤矿用带式输送机技术条件》MT820-2006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外观质量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安全要求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带速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电机功率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加速度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运行平稳性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输送带跑偏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制动装置和逆止装置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保护装置和电控装置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张紧装置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液压元件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7.14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清扫器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煤矿在用瓦斯抽放泵（水环式真空泵）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《水环式真空泵和水环式压缩机 试验方法》GB/T 13929-2010</w:t>
            </w:r>
          </w:p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《水环式真空泵和水环式压缩机 气量测定方法》</w:t>
            </w:r>
          </w:p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13930-2010</w:t>
            </w:r>
          </w:p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《煤矿安全规程》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外观质量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气体流量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进气温度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大气压力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吸入压力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排出压力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输入功率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轴功率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等温压缩效率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振动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8.14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安全设施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单轨吊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一般要求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szCs w:val="21"/>
              </w:rPr>
              <w:t>《 煤矿在用单轨吊车安全性能检测检验规范》NB/T10176-2019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制动性能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照明、信号与通信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安全保护装置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配套设施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煤矿用低浓度载体催化式甲烷传感器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szCs w:val="21"/>
              </w:rPr>
              <w:t>《煤矿用低浓度载体催化式甲烷传感器》AQ6203-2006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遥控调校功能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显示值稳定性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工作电压范围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煤矿用高低浓度甲烷传感器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《煤矿用高低浓度甲烷传感器》AQ6206-2006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遥控调校功能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显示值稳定性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转换点附加误差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工作电压范围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矿用一氧化碳传感器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19504090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《煤矿用电化学式一氧化碳传感器</w:t>
            </w:r>
            <w:bookmarkEnd w:id="2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AQ6205-2006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断电保护措施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遥控调校功能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显示值稳定性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工作电压范围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12.12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矿用二氧化碳传感器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《矿用二氧化碳传感器通用技术条件》AQ1052-2008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遥控调校功能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显示值稳定性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工作电压范围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红外（激光）甲烷传感器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外观、结构及气室防护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《煤矿用非色散红外甲烷传感器》</w:t>
            </w:r>
          </w:p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AQ6211-2008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最小分辨率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显示值稳定性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温度传感器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工作电压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19503476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《煤矿用温度传感器通用技术条件》</w:t>
            </w:r>
            <w:bookmarkEnd w:id="3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MT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381-2007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工作电流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矿用负压传感器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基本误差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《矿用差压传感器通用技术条件》MT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393-1995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重复性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回程误差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密封性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过载性能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电源波动性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绝缘耐压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矿用氧气传感器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119504108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《煤矿用电化学式氧气传感器技术条件》</w:t>
            </w:r>
            <w:bookmarkEnd w:id="4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MT/T447-1995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气体检测报警仪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功能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《作业场所环境气体检测报警仪 通用技术要求》</w:t>
            </w:r>
          </w:p>
          <w:p>
            <w:pPr>
              <w:pStyle w:val="8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 12358-2006</w:t>
            </w: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检测误差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报警误差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重复性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电压波动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耐压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矿用风速传感器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《矿用风速传感器》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MT/T448-2008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工作电压范围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矿用烟雾传感器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《矿用烟雾传感器通用技术条件》MT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382-2011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主要技术参数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工作稳定性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18"/>
              </w:rPr>
            </w:pPr>
            <w:r>
              <w:rPr>
                <w:rFonts w:hint="eastAsia" w:ascii="宋体" w:hAnsi="宋体" w:cs="宋体"/>
                <w:szCs w:val="18"/>
              </w:rPr>
              <w:t>工频耐压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光干涉式甲烷测定器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《光干涉式甲烷测定器》MT/T28-2005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干涉条纹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气密性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扩散试验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自由跌落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便携式热催化甲烷检测报警仪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《便携式热催化甲烷检测报警仪》</w:t>
            </w:r>
          </w:p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AQ6207-2007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电源及充电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显示值稳定性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位置变动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22.11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氧气测定器、报警仪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《煤矿用携带型电化学式氧气测定器》MT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/T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704-2008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电源及充电功能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零点漂移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exac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工作位置变动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tcBorders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电气安全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18"/>
              </w:rPr>
              <w:t>携带型电化学式一氧化碳测定器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外观及结构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19503508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《煤矿用携带型电化学一氧化碳测定器》</w:t>
            </w:r>
            <w:bookmarkEnd w:id="5"/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MT/T703-2008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电源及充电功能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零点漂移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报警值与设定值差值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报警声级强度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响应时间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工作位置变动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24.10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电气安全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粉尘浓度传感器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外观与结构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《煤矿用粉尘浓度传感器》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MT/T1102-2009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零位稳定性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基本误差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传输距离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最大启动电流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最大工作电流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工作噪声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25.8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25.9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介电强度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风速表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26.1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外观和运动零/部件</w:t>
            </w:r>
          </w:p>
        </w:tc>
        <w:tc>
          <w:tcPr>
            <w:tcW w:w="176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《煤矿用风速表》</w:t>
            </w:r>
            <w:r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MT/T380-2007</w:t>
            </w: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26.2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起动风速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26.3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风速测量范围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26.4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风速误差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26.5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计时误差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26.6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绝缘电阻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常态下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65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26.7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绝缘强度</w:t>
            </w:r>
          </w:p>
        </w:tc>
        <w:tc>
          <w:tcPr>
            <w:tcW w:w="1762" w:type="dxa"/>
            <w:gridSpan w:val="2"/>
            <w:vMerge w:val="continue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</w:tcBorders>
          </w:tcPr>
          <w:p>
            <w:pPr>
              <w:pStyle w:val="8"/>
              <w:jc w:val="left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>
      <w:pPr>
        <w:pStyle w:val="11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pacing w:val="20"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（以下空白）</w:t>
      </w:r>
    </w:p>
    <w:p>
      <w:pPr>
        <w:pStyle w:val="8"/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20"/>
          <w:sz w:val="32"/>
          <w:szCs w:val="32"/>
        </w:rPr>
      </w:pPr>
    </w:p>
    <w:p>
      <w:pPr>
        <w:pStyle w:val="8"/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0"/>
          <w:sz w:val="32"/>
          <w:szCs w:val="32"/>
        </w:rPr>
        <w:t>资 质 证 书</w:t>
      </w:r>
    </w:p>
    <w:p>
      <w:pPr>
        <w:pStyle w:val="8"/>
        <w:snapToGrid w:val="0"/>
        <w:ind w:leftChars="-200" w:hanging="420" w:hangingChars="200"/>
        <w:jc w:val="center"/>
        <w:rPr>
          <w:rFonts w:hAnsi="宋体"/>
          <w:bCs/>
          <w:szCs w:val="22"/>
        </w:rPr>
      </w:pPr>
      <w:r>
        <w:rPr>
          <w:rFonts w:hint="eastAsia" w:hAnsi="宋体"/>
          <w:bCs/>
          <w:szCs w:val="22"/>
        </w:rPr>
        <w:t xml:space="preserve">   授权签字人及授权签字领域</w:t>
      </w:r>
    </w:p>
    <w:p>
      <w:pPr>
        <w:pStyle w:val="8"/>
        <w:snapToGrid w:val="0"/>
        <w:ind w:leftChars="-200" w:hanging="420" w:hangingChars="200"/>
        <w:jc w:val="center"/>
        <w:rPr>
          <w:rFonts w:hAnsi="宋体"/>
          <w:bCs/>
          <w:szCs w:val="22"/>
        </w:rPr>
      </w:pPr>
    </w:p>
    <w:p>
      <w:pPr>
        <w:pStyle w:val="8"/>
        <w:snapToGrid w:val="0"/>
        <w:ind w:left="5040" w:hanging="5040" w:hangingChars="2100"/>
        <w:jc w:val="left"/>
        <w:rPr>
          <w:rFonts w:hAnsi="宋体"/>
          <w:bCs/>
          <w:sz w:val="24"/>
        </w:rPr>
      </w:pPr>
      <w:r>
        <w:rPr>
          <w:rFonts w:hint="eastAsia" w:hAnsi="宋体"/>
          <w:bCs/>
          <w:sz w:val="24"/>
        </w:rPr>
        <w:t>机构名称：贵州瑞龙宇方矿用产品检验有限公司</w:t>
      </w:r>
    </w:p>
    <w:p>
      <w:pPr>
        <w:pStyle w:val="8"/>
        <w:snapToGrid w:val="0"/>
        <w:jc w:val="left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地</w:t>
      </w:r>
      <w:r>
        <w:rPr>
          <w:rFonts w:hint="eastAsia" w:hAnsi="宋体"/>
          <w:bCs/>
          <w:sz w:val="24"/>
        </w:rPr>
        <w:t xml:space="preserve"> </w:t>
      </w:r>
      <w:r>
        <w:rPr>
          <w:rFonts w:hAnsi="宋体"/>
          <w:bCs/>
          <w:sz w:val="24"/>
        </w:rPr>
        <w:t xml:space="preserve">   址：</w:t>
      </w:r>
      <w:r>
        <w:rPr>
          <w:rFonts w:hint="eastAsia" w:hAnsi="宋体"/>
          <w:bCs/>
          <w:sz w:val="24"/>
        </w:rPr>
        <w:t>贵州省贵阳市白云区大山洞街道白云北路117号</w:t>
      </w:r>
    </w:p>
    <w:p>
      <w:pPr>
        <w:pStyle w:val="8"/>
        <w:snapToGrid w:val="0"/>
        <w:jc w:val="left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场</w:t>
      </w:r>
      <w:r>
        <w:rPr>
          <w:rFonts w:hint="eastAsia" w:hAnsi="宋体"/>
          <w:bCs/>
          <w:sz w:val="24"/>
        </w:rPr>
        <w:t xml:space="preserve"> </w:t>
      </w:r>
      <w:r>
        <w:rPr>
          <w:rFonts w:hAnsi="宋体"/>
          <w:bCs/>
          <w:sz w:val="24"/>
        </w:rPr>
        <w:t xml:space="preserve">   所：</w:t>
      </w:r>
      <w:r>
        <w:rPr>
          <w:rFonts w:hint="eastAsia" w:hAnsi="宋体"/>
          <w:bCs/>
          <w:sz w:val="24"/>
        </w:rPr>
        <w:t>贵州省贵阳市白云区大山洞街道白云北路117号</w:t>
      </w:r>
    </w:p>
    <w:p>
      <w:pPr>
        <w:pStyle w:val="8"/>
        <w:snapToGrid w:val="0"/>
        <w:jc w:val="left"/>
        <w:rPr>
          <w:rFonts w:hAnsi="宋体"/>
          <w:bCs/>
          <w:color w:val="FF0000"/>
          <w:sz w:val="24"/>
        </w:rPr>
      </w:pPr>
      <w:r>
        <w:rPr>
          <w:rFonts w:hint="eastAsia" w:hAnsi="宋体"/>
          <w:bCs/>
          <w:sz w:val="24"/>
        </w:rPr>
        <w:t>证书编号：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t>黔 煤监2</w:t>
      </w:r>
      <w:r>
        <w:rPr>
          <w:rFonts w:hint="default" w:ascii="宋体" w:hAnsi="宋体" w:cs="宋体"/>
          <w:color w:val="auto"/>
          <w:kern w:val="0"/>
          <w:sz w:val="24"/>
          <w:lang w:val="en" w:bidi="ar"/>
        </w:rPr>
        <w:t>3</w:t>
      </w:r>
      <w:r>
        <w:rPr>
          <w:rFonts w:ascii="宋体" w:hAnsi="宋体" w:cs="宋体"/>
          <w:color w:val="auto"/>
          <w:kern w:val="0"/>
          <w:sz w:val="24"/>
          <w:lang w:bidi="ar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t>0</w:t>
      </w:r>
      <w:r>
        <w:rPr>
          <w:rFonts w:hint="default" w:ascii="宋体" w:hAnsi="宋体" w:cs="宋体"/>
          <w:color w:val="auto"/>
          <w:kern w:val="0"/>
          <w:sz w:val="24"/>
          <w:lang w:val="en" w:bidi="ar"/>
        </w:rPr>
        <w:t>3</w:t>
      </w:r>
      <w:r>
        <w:rPr>
          <w:rFonts w:hint="eastAsia" w:hAnsi="宋体"/>
          <w:bCs/>
          <w:sz w:val="24"/>
        </w:rPr>
        <w:t xml:space="preserve">           </w:t>
      </w:r>
      <w:r>
        <w:rPr>
          <w:rFonts w:hAnsi="宋体"/>
          <w:bCs/>
          <w:sz w:val="24"/>
        </w:rPr>
        <w:t xml:space="preserve">             </w:t>
      </w:r>
      <w:r>
        <w:rPr>
          <w:rFonts w:hint="eastAsia" w:hAnsi="宋体"/>
          <w:bCs/>
          <w:sz w:val="24"/>
        </w:rPr>
        <w:t xml:space="preserve"> 有效期至：</w:t>
      </w:r>
      <w:r>
        <w:rPr>
          <w:rFonts w:hint="default" w:ascii="宋体" w:hAnsi="宋体" w:cs="宋体"/>
          <w:color w:val="auto"/>
          <w:sz w:val="24"/>
          <w:lang w:val="en"/>
        </w:rPr>
        <w:t>202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lang w:val="en" w:eastAsia="zh-CN"/>
        </w:rPr>
        <w:t>年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3月30日</w:t>
      </w:r>
      <w:bookmarkStart w:id="6" w:name="_GoBack"/>
      <w:bookmarkEnd w:id="6"/>
      <w:r>
        <w:rPr>
          <w:rFonts w:hint="eastAsia" w:hAnsi="宋体"/>
          <w:bCs/>
          <w:sz w:val="24"/>
        </w:rPr>
        <w:t xml:space="preserve">              </w:t>
      </w:r>
    </w:p>
    <w:tbl>
      <w:tblPr>
        <w:tblStyle w:val="1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275"/>
        <w:gridCol w:w="387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2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27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授权签字人姓名</w:t>
            </w:r>
          </w:p>
        </w:tc>
        <w:tc>
          <w:tcPr>
            <w:tcW w:w="387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授权签字领域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75" w:type="dxa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龚琦森</w:t>
            </w:r>
          </w:p>
        </w:tc>
        <w:tc>
          <w:tcPr>
            <w:tcW w:w="3875" w:type="dxa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本次批准项目全领域</w:t>
            </w:r>
          </w:p>
        </w:tc>
        <w:tc>
          <w:tcPr>
            <w:tcW w:w="1554" w:type="dxa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2" w:type="dxa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75" w:type="dxa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（以下空白）</w:t>
            </w:r>
          </w:p>
        </w:tc>
        <w:tc>
          <w:tcPr>
            <w:tcW w:w="3875" w:type="dxa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（以下空白）</w:t>
            </w:r>
          </w:p>
        </w:tc>
        <w:tc>
          <w:tcPr>
            <w:tcW w:w="1554" w:type="dxa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7"/>
      </w:pPr>
    </w:p>
    <w:sectPr>
      <w:headerReference r:id="rId3" w:type="default"/>
      <w:footerReference r:id="rId4" w:type="default"/>
      <w:pgSz w:w="11906" w:h="16838"/>
      <w:pgMar w:top="2098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仿宋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长城大黑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8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mONZ41AAAAAgBAAAPAAAAAAAAAAEAIAAAADgAAABkcnMvZG93bnJldi54bWxQSwEC&#10;FAAUAAAACACHTuJAczUJUxsCAAAnBAAADgAAAAAAAAABACAAAAA5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mI0YTk2ZmYwODcwNGI3ZjI1MmE1ZDM4YjQxODkifQ=="/>
  </w:docVars>
  <w:rsids>
    <w:rsidRoot w:val="457E7B2F"/>
    <w:rsid w:val="00010B2A"/>
    <w:rsid w:val="00015DE6"/>
    <w:rsid w:val="00094491"/>
    <w:rsid w:val="001332DC"/>
    <w:rsid w:val="00184B2A"/>
    <w:rsid w:val="00193D10"/>
    <w:rsid w:val="001F508A"/>
    <w:rsid w:val="001F7912"/>
    <w:rsid w:val="0028591D"/>
    <w:rsid w:val="002A3291"/>
    <w:rsid w:val="002F4168"/>
    <w:rsid w:val="002F67F2"/>
    <w:rsid w:val="0030585A"/>
    <w:rsid w:val="00355FFB"/>
    <w:rsid w:val="00357B9F"/>
    <w:rsid w:val="003A046C"/>
    <w:rsid w:val="003B0DE0"/>
    <w:rsid w:val="003D7A44"/>
    <w:rsid w:val="003F750B"/>
    <w:rsid w:val="004E586D"/>
    <w:rsid w:val="0057424E"/>
    <w:rsid w:val="00643228"/>
    <w:rsid w:val="00647FAB"/>
    <w:rsid w:val="006F4843"/>
    <w:rsid w:val="007549E4"/>
    <w:rsid w:val="007761E0"/>
    <w:rsid w:val="00831B14"/>
    <w:rsid w:val="00862870"/>
    <w:rsid w:val="008A748A"/>
    <w:rsid w:val="008D30E5"/>
    <w:rsid w:val="008E1CD1"/>
    <w:rsid w:val="009F77E2"/>
    <w:rsid w:val="00A42B20"/>
    <w:rsid w:val="00A83BC6"/>
    <w:rsid w:val="00A85A56"/>
    <w:rsid w:val="00AF44AC"/>
    <w:rsid w:val="00B54187"/>
    <w:rsid w:val="00BA31CA"/>
    <w:rsid w:val="00BB24CA"/>
    <w:rsid w:val="00BB7465"/>
    <w:rsid w:val="00C17681"/>
    <w:rsid w:val="00C65420"/>
    <w:rsid w:val="00CA4B14"/>
    <w:rsid w:val="00D148A0"/>
    <w:rsid w:val="00D2544C"/>
    <w:rsid w:val="00E85899"/>
    <w:rsid w:val="00F04ED1"/>
    <w:rsid w:val="00F8758E"/>
    <w:rsid w:val="00FA4053"/>
    <w:rsid w:val="00FB21FB"/>
    <w:rsid w:val="00FB3058"/>
    <w:rsid w:val="055165DE"/>
    <w:rsid w:val="05A74884"/>
    <w:rsid w:val="0858458A"/>
    <w:rsid w:val="08CF48BD"/>
    <w:rsid w:val="0D3A1D16"/>
    <w:rsid w:val="0EA24736"/>
    <w:rsid w:val="0FCF3281"/>
    <w:rsid w:val="111A75B4"/>
    <w:rsid w:val="116C5069"/>
    <w:rsid w:val="12231503"/>
    <w:rsid w:val="14896014"/>
    <w:rsid w:val="14AA1FCC"/>
    <w:rsid w:val="14E47AD8"/>
    <w:rsid w:val="17F558E2"/>
    <w:rsid w:val="19D103AD"/>
    <w:rsid w:val="1BB14576"/>
    <w:rsid w:val="1C3F037D"/>
    <w:rsid w:val="1C7A4F20"/>
    <w:rsid w:val="1D334FF8"/>
    <w:rsid w:val="1EF06DE3"/>
    <w:rsid w:val="20053E89"/>
    <w:rsid w:val="215E6529"/>
    <w:rsid w:val="234C1956"/>
    <w:rsid w:val="276854B7"/>
    <w:rsid w:val="29BE5276"/>
    <w:rsid w:val="2BE054A4"/>
    <w:rsid w:val="2DBE43BE"/>
    <w:rsid w:val="2E1C5FDE"/>
    <w:rsid w:val="2E755065"/>
    <w:rsid w:val="2EF910FE"/>
    <w:rsid w:val="30111547"/>
    <w:rsid w:val="305254C3"/>
    <w:rsid w:val="31D8378E"/>
    <w:rsid w:val="32760A09"/>
    <w:rsid w:val="32C03100"/>
    <w:rsid w:val="35DF6F9D"/>
    <w:rsid w:val="399B34CA"/>
    <w:rsid w:val="3BEDEB10"/>
    <w:rsid w:val="3CE66652"/>
    <w:rsid w:val="3EFEEEB7"/>
    <w:rsid w:val="4097447F"/>
    <w:rsid w:val="439E575E"/>
    <w:rsid w:val="44EA5040"/>
    <w:rsid w:val="457E7B2F"/>
    <w:rsid w:val="4597509C"/>
    <w:rsid w:val="46121D02"/>
    <w:rsid w:val="48F64399"/>
    <w:rsid w:val="4B6A43A0"/>
    <w:rsid w:val="4C6A109C"/>
    <w:rsid w:val="4C6F1F6D"/>
    <w:rsid w:val="5003619A"/>
    <w:rsid w:val="50A73072"/>
    <w:rsid w:val="51B510E0"/>
    <w:rsid w:val="52B256B5"/>
    <w:rsid w:val="53363B21"/>
    <w:rsid w:val="555239DA"/>
    <w:rsid w:val="55DD3E0E"/>
    <w:rsid w:val="587B7509"/>
    <w:rsid w:val="589A4D7B"/>
    <w:rsid w:val="5E1B5E44"/>
    <w:rsid w:val="5F731BD3"/>
    <w:rsid w:val="5FFE2940"/>
    <w:rsid w:val="61AD439F"/>
    <w:rsid w:val="62501427"/>
    <w:rsid w:val="632871E4"/>
    <w:rsid w:val="643F1951"/>
    <w:rsid w:val="65E120E1"/>
    <w:rsid w:val="686459B4"/>
    <w:rsid w:val="69810A92"/>
    <w:rsid w:val="6A4C7282"/>
    <w:rsid w:val="6A7265DA"/>
    <w:rsid w:val="6AD229ED"/>
    <w:rsid w:val="6BF93768"/>
    <w:rsid w:val="6D8A585E"/>
    <w:rsid w:val="6DF1704B"/>
    <w:rsid w:val="6E195C5E"/>
    <w:rsid w:val="6E5E3E7E"/>
    <w:rsid w:val="6F8C21B9"/>
    <w:rsid w:val="71893081"/>
    <w:rsid w:val="71924DCD"/>
    <w:rsid w:val="72F15DB5"/>
    <w:rsid w:val="730B0551"/>
    <w:rsid w:val="733531FA"/>
    <w:rsid w:val="73904114"/>
    <w:rsid w:val="750C2CDE"/>
    <w:rsid w:val="7A241D50"/>
    <w:rsid w:val="7A445413"/>
    <w:rsid w:val="7AFF25F1"/>
    <w:rsid w:val="7BCFD095"/>
    <w:rsid w:val="7D97A865"/>
    <w:rsid w:val="7E1A5B16"/>
    <w:rsid w:val="7F811DF3"/>
    <w:rsid w:val="7FAE00C2"/>
    <w:rsid w:val="7FFF539F"/>
    <w:rsid w:val="AFDB33C8"/>
    <w:rsid w:val="BD696585"/>
    <w:rsid w:val="BF5B710F"/>
    <w:rsid w:val="D79FEE57"/>
    <w:rsid w:val="E7F5D094"/>
    <w:rsid w:val="EBFBD4D9"/>
    <w:rsid w:val="EDC8608A"/>
    <w:rsid w:val="EDDFFA5E"/>
    <w:rsid w:val="EFBF0982"/>
    <w:rsid w:val="EFFE38BE"/>
    <w:rsid w:val="EFFF4018"/>
    <w:rsid w:val="F57E6DC2"/>
    <w:rsid w:val="F6FB5653"/>
    <w:rsid w:val="FBF846C2"/>
    <w:rsid w:val="FDEBC2B0"/>
    <w:rsid w:val="FDFF93FE"/>
    <w:rsid w:val="FFDE6412"/>
    <w:rsid w:val="FF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keepNext/>
      <w:outlineLvl w:val="0"/>
    </w:pPr>
    <w:rPr>
      <w:rFonts w:ascii="长城仿宋体" w:hAnsi="Times New Roman" w:eastAsia="长城仿宋体"/>
      <w:sz w:val="28"/>
      <w:szCs w:val="20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link w:val="27"/>
    <w:qFormat/>
    <w:uiPriority w:val="0"/>
    <w:rPr>
      <w:rFonts w:ascii="Times New Roman" w:hAnsi="Times New Roman" w:eastAsia="长城大黑体"/>
      <w:sz w:val="72"/>
      <w:szCs w:val="20"/>
    </w:rPr>
  </w:style>
  <w:style w:type="paragraph" w:styleId="7">
    <w:name w:val="Body Text Indent"/>
    <w:basedOn w:val="1"/>
    <w:link w:val="28"/>
    <w:qFormat/>
    <w:uiPriority w:val="0"/>
    <w:pPr>
      <w:spacing w:line="600" w:lineRule="exact"/>
      <w:ind w:firstLine="600" w:firstLineChars="200"/>
    </w:pPr>
    <w:rPr>
      <w:rFonts w:ascii="仿宋_GB2312" w:eastAsia="仿宋_GB2312"/>
      <w:color w:val="000000"/>
      <w:sz w:val="30"/>
      <w:szCs w:val="22"/>
    </w:rPr>
  </w:style>
  <w:style w:type="paragraph" w:styleId="8">
    <w:name w:val="Plain Text"/>
    <w:basedOn w:val="1"/>
    <w:link w:val="32"/>
    <w:qFormat/>
    <w:uiPriority w:val="0"/>
    <w:rPr>
      <w:rFonts w:ascii="宋体" w:hAnsi="Courier New"/>
    </w:rPr>
  </w:style>
  <w:style w:type="paragraph" w:styleId="9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able of figures"/>
    <w:basedOn w:val="1"/>
    <w:next w:val="1"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paragraph" w:customStyle="1" w:styleId="17">
    <w:name w:val="无间隔1"/>
    <w:basedOn w:val="18"/>
    <w:qFormat/>
    <w:uiPriority w:val="0"/>
    <w:rPr>
      <w:rFonts w:ascii="Calibri" w:hAnsi="Calibri"/>
    </w:rPr>
  </w:style>
  <w:style w:type="paragraph" w:customStyle="1" w:styleId="1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customStyle="1" w:styleId="19">
    <w:name w:val="页脚 字符"/>
    <w:basedOn w:val="14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眉 字符"/>
    <w:basedOn w:val="14"/>
    <w:link w:val="10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1">
    <w:name w:val="正文-公1"/>
    <w:basedOn w:val="1"/>
    <w:next w:val="1"/>
    <w:qFormat/>
    <w:uiPriority w:val="99"/>
    <w:pPr>
      <w:ind w:firstLine="200" w:firstLineChars="200"/>
      <w:jc w:val="left"/>
    </w:pPr>
    <w:rPr>
      <w:rFonts w:eastAsia="仿宋_GB2312"/>
    </w:rPr>
  </w:style>
  <w:style w:type="character" w:customStyle="1" w:styleId="22">
    <w:name w:val="font21"/>
    <w:basedOn w:val="14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ascii="DejaVu Sans" w:hAnsi="DejaVu Sans" w:eastAsia="DejaVu Sans" w:cs="DejaVu Sans"/>
      <w:color w:val="000000"/>
      <w:sz w:val="21"/>
      <w:szCs w:val="21"/>
      <w:u w:val="none"/>
    </w:rPr>
  </w:style>
  <w:style w:type="character" w:customStyle="1" w:styleId="25">
    <w:name w:val="font7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标题 1 字符"/>
    <w:basedOn w:val="14"/>
    <w:link w:val="3"/>
    <w:qFormat/>
    <w:uiPriority w:val="0"/>
    <w:rPr>
      <w:rFonts w:ascii="长城仿宋体" w:eastAsia="长城仿宋体"/>
      <w:kern w:val="2"/>
      <w:sz w:val="28"/>
    </w:rPr>
  </w:style>
  <w:style w:type="character" w:customStyle="1" w:styleId="27">
    <w:name w:val="正文文本 字符"/>
    <w:basedOn w:val="14"/>
    <w:link w:val="6"/>
    <w:qFormat/>
    <w:uiPriority w:val="0"/>
    <w:rPr>
      <w:rFonts w:eastAsia="长城大黑体"/>
      <w:kern w:val="2"/>
      <w:sz w:val="72"/>
    </w:rPr>
  </w:style>
  <w:style w:type="character" w:customStyle="1" w:styleId="28">
    <w:name w:val="正文文本缩进 字符"/>
    <w:basedOn w:val="14"/>
    <w:link w:val="7"/>
    <w:qFormat/>
    <w:uiPriority w:val="0"/>
    <w:rPr>
      <w:rFonts w:ascii="仿宋_GB2312" w:hAnsi="Calibri" w:eastAsia="仿宋_GB2312"/>
      <w:color w:val="000000"/>
      <w:kern w:val="2"/>
      <w:sz w:val="30"/>
      <w:szCs w:val="22"/>
    </w:rPr>
  </w:style>
  <w:style w:type="paragraph" w:customStyle="1" w:styleId="29">
    <w:name w:val="正文 New New New"/>
    <w:next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标题 New New New"/>
    <w:basedOn w:val="29"/>
    <w:next w:val="29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1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32">
    <w:name w:val="纯文本 字符"/>
    <w:basedOn w:val="14"/>
    <w:link w:val="8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874</Words>
  <Characters>4988</Characters>
  <Lines>41</Lines>
  <Paragraphs>11</Paragraphs>
  <TotalTime>2</TotalTime>
  <ScaleCrop>false</ScaleCrop>
  <LinksUpToDate>false</LinksUpToDate>
  <CharactersWithSpaces>5851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2020-06-19T00:56:00Z</dcterms:created>
  <dc:creator>何足道哉</dc:creator>
  <cp:lastModifiedBy>ysgz</cp:lastModifiedBy>
  <cp:lastPrinted>2021-01-23T03:44:00Z</cp:lastPrinted>
  <dcterms:modified xsi:type="dcterms:W3CDTF">2023-03-30T14:30:25Z</dcterms:modified>
  <dc:title>2021年 第 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A1CEECBB07014FDDA7416C8B968688E3</vt:lpwstr>
  </property>
</Properties>
</file>